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inline distT="0" distB="0" distL="114300" distR="114300">
            <wp:extent cx="5274945" cy="851598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74945" cy="8515985"/>
                    </a:xfrm>
                    <a:prstGeom prst="rect">
                      <a:avLst/>
                    </a:prstGeom>
                    <a:noFill/>
                    <a:ln w="9525">
                      <a:noFill/>
                    </a:ln>
                  </pic:spPr>
                </pic:pic>
              </a:graphicData>
            </a:graphic>
          </wp:inline>
        </w:drawing>
      </w:r>
    </w:p>
    <w:p>
      <w:pPr>
        <w:rPr>
          <w:rFonts w:hint="eastAsia"/>
        </w:rPr>
      </w:pPr>
      <w:r>
        <w:rPr>
          <w:b/>
          <w:bCs/>
        </w:rPr>
        <w:drawing>
          <wp:inline distT="0" distB="0" distL="0" distR="0">
            <wp:extent cx="5274310" cy="8316595"/>
            <wp:effectExtent l="0" t="0" r="2540" b="8255"/>
            <wp:docPr id="58" name="图片 58" descr="H:\质量年报2019\组合\四川财经职业学院高等职业教育质量年度报告（2019）\8.四川财经职业学院高等职业教育质量年度报告内容真实性责任声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质量年报2019\组合\四川财经职业学院高等职业教育质量年度报告（2019）\8.四川财经职业学院高等职业教育质量年度报告内容真实性责任声明.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8317157"/>
                    </a:xfrm>
                    <a:prstGeom prst="rect">
                      <a:avLst/>
                    </a:prstGeom>
                    <a:noFill/>
                    <a:ln>
                      <a:noFill/>
                    </a:ln>
                  </pic:spPr>
                </pic:pic>
              </a:graphicData>
            </a:graphic>
          </wp:inline>
        </w:drawing>
      </w:r>
    </w:p>
    <w:p>
      <w:pPr>
        <w:sectPr>
          <w:pgSz w:w="11906" w:h="16838"/>
          <w:pgMar w:top="1440" w:right="1800" w:bottom="1440" w:left="1800" w:header="851" w:footer="850" w:gutter="0"/>
          <w:cols w:space="425" w:num="1"/>
          <w:docGrid w:type="lines" w:linePitch="312" w:charSpace="0"/>
        </w:sectPr>
      </w:pPr>
    </w:p>
    <w:p/>
    <w:sdt>
      <w:sdtPr>
        <w:rPr>
          <w:rFonts w:ascii="Calibri" w:hAnsi="Calibri" w:eastAsia="宋体" w:cs="Times New Roman"/>
          <w:color w:val="auto"/>
          <w:kern w:val="2"/>
          <w:sz w:val="21"/>
          <w:szCs w:val="24"/>
          <w:lang w:val="zh-CN"/>
        </w:rPr>
        <w:id w:val="-1814711752"/>
        <w:docPartObj>
          <w:docPartGallery w:val="Table of Contents"/>
          <w:docPartUnique/>
        </w:docPartObj>
      </w:sdtPr>
      <w:sdtEndPr>
        <w:rPr>
          <w:rFonts w:ascii="Calibri" w:hAnsi="Calibri" w:eastAsia="宋体" w:cs="Times New Roman"/>
          <w:b/>
          <w:bCs/>
          <w:color w:val="auto"/>
          <w:kern w:val="2"/>
          <w:sz w:val="21"/>
          <w:szCs w:val="24"/>
          <w:lang w:val="zh-CN"/>
        </w:rPr>
      </w:sdtEndPr>
      <w:sdtContent>
        <w:p>
          <w:pPr>
            <w:pStyle w:val="38"/>
            <w:jc w:val="center"/>
            <w:rPr>
              <w:rFonts w:ascii="黑体" w:hAnsi="黑体" w:eastAsia="黑体"/>
              <w:color w:val="0D0D0D" w:themeColor="text1" w:themeTint="F2"/>
              <w:sz w:val="40"/>
              <w14:textFill>
                <w14:solidFill>
                  <w14:schemeClr w14:val="tx1">
                    <w14:lumMod w14:val="95000"/>
                    <w14:lumOff w14:val="5000"/>
                  </w14:schemeClr>
                </w14:solidFill>
              </w14:textFill>
            </w:rPr>
          </w:pPr>
          <w:r>
            <w:rPr>
              <w:rFonts w:ascii="黑体" w:hAnsi="黑体" w:eastAsia="黑体"/>
              <w:color w:val="0D0D0D" w:themeColor="text1" w:themeTint="F2"/>
              <w:sz w:val="40"/>
              <w:lang w:val="zh-CN"/>
              <w14:textFill>
                <w14:solidFill>
                  <w14:schemeClr w14:val="tx1">
                    <w14:lumMod w14:val="95000"/>
                    <w14:lumOff w14:val="5000"/>
                  </w14:schemeClr>
                </w14:solidFill>
              </w14:textFill>
            </w:rPr>
            <w:t>目录</w:t>
          </w:r>
        </w:p>
        <w:p>
          <w:pPr>
            <w:pStyle w:val="12"/>
            <w:tabs>
              <w:tab w:val="right" w:leader="dot" w:pos="8296"/>
            </w:tabs>
            <w:spacing w:line="269" w:lineRule="auto"/>
            <w:rPr>
              <w:rFonts w:ascii="黑体" w:hAnsi="黑体" w:eastAsia="黑体" w:cstheme="minorBidi"/>
              <w:sz w:val="22"/>
              <w:szCs w:val="22"/>
            </w:rPr>
          </w:pPr>
          <w:r>
            <w:rPr>
              <w:rFonts w:ascii="黑体" w:hAnsi="黑体" w:eastAsia="黑体"/>
              <w:b/>
              <w:bCs/>
              <w:lang w:val="zh-CN"/>
            </w:rPr>
            <w:fldChar w:fldCharType="begin"/>
          </w:r>
          <w:r>
            <w:rPr>
              <w:rFonts w:ascii="黑体" w:hAnsi="黑体" w:eastAsia="黑体"/>
              <w:b/>
              <w:bCs/>
              <w:lang w:val="zh-CN"/>
            </w:rPr>
            <w:instrText xml:space="preserve"> TOC \o "1-3" \h \z \u </w:instrText>
          </w:r>
          <w:r>
            <w:rPr>
              <w:rFonts w:ascii="黑体" w:hAnsi="黑体" w:eastAsia="黑体"/>
              <w:b/>
              <w:bCs/>
              <w:lang w:val="zh-CN"/>
            </w:rPr>
            <w:fldChar w:fldCharType="separate"/>
          </w:r>
          <w:r>
            <w:fldChar w:fldCharType="begin"/>
          </w:r>
          <w:r>
            <w:instrText xml:space="preserve"> HYPERLINK \l "_Toc533491200" </w:instrText>
          </w:r>
          <w:r>
            <w:fldChar w:fldCharType="separate"/>
          </w:r>
          <w:r>
            <w:rPr>
              <w:rStyle w:val="18"/>
              <w:rFonts w:hint="eastAsia" w:ascii="黑体" w:hAnsi="黑体" w:eastAsia="黑体"/>
              <w:sz w:val="22"/>
            </w:rPr>
            <w:t>一、学院概况</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_Toc533491200 \h </w:instrText>
          </w:r>
          <w:r>
            <w:rPr>
              <w:rFonts w:ascii="黑体" w:hAnsi="黑体" w:eastAsia="黑体"/>
              <w:sz w:val="22"/>
            </w:rPr>
            <w:fldChar w:fldCharType="separate"/>
          </w:r>
          <w:r>
            <w:rPr>
              <w:rFonts w:ascii="黑体" w:hAnsi="黑体" w:eastAsia="黑体"/>
              <w:sz w:val="22"/>
            </w:rPr>
            <w:t>1</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"_Toc533491201" </w:instrText>
          </w:r>
          <w:r>
            <w:fldChar w:fldCharType="separate"/>
          </w:r>
          <w:r>
            <w:rPr>
              <w:rStyle w:val="18"/>
              <w:rFonts w:hint="eastAsia" w:ascii="黑体" w:hAnsi="黑体" w:eastAsia="黑体"/>
              <w:sz w:val="22"/>
            </w:rPr>
            <w:t>二、基础数据</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_Toc533491201 \h </w:instrText>
          </w:r>
          <w:r>
            <w:rPr>
              <w:rFonts w:ascii="黑体" w:hAnsi="黑体" w:eastAsia="黑体"/>
              <w:sz w:val="22"/>
            </w:rPr>
            <w:fldChar w:fldCharType="separate"/>
          </w:r>
          <w:r>
            <w:rPr>
              <w:rFonts w:ascii="黑体" w:hAnsi="黑体" w:eastAsia="黑体"/>
              <w:sz w:val="22"/>
            </w:rPr>
            <w:t>2</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"_Toc533491202" </w:instrText>
          </w:r>
          <w:r>
            <w:fldChar w:fldCharType="separate"/>
          </w:r>
          <w:r>
            <w:rPr>
              <w:rStyle w:val="18"/>
              <w:rFonts w:hint="eastAsia" w:ascii="黑体" w:hAnsi="黑体" w:eastAsia="黑体"/>
              <w:sz w:val="22"/>
            </w:rPr>
            <w:t>（一）占地、建筑面积</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_Toc533491202 \h </w:instrText>
          </w:r>
          <w:r>
            <w:rPr>
              <w:rFonts w:ascii="黑体" w:hAnsi="黑体" w:eastAsia="黑体"/>
              <w:sz w:val="22"/>
            </w:rPr>
            <w:fldChar w:fldCharType="separate"/>
          </w:r>
          <w:r>
            <w:rPr>
              <w:rFonts w:ascii="黑体" w:hAnsi="黑体" w:eastAsia="黑体"/>
              <w:sz w:val="22"/>
            </w:rPr>
            <w:t>2</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"_Toc533491203" </w:instrText>
          </w:r>
          <w:r>
            <w:fldChar w:fldCharType="separate"/>
          </w:r>
          <w:r>
            <w:rPr>
              <w:rStyle w:val="18"/>
              <w:rFonts w:hint="eastAsia" w:ascii="黑体" w:hAnsi="黑体" w:eastAsia="黑体"/>
              <w:sz w:val="22"/>
            </w:rPr>
            <w:t>（二）馆藏图书资料</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_Toc533491203 \h </w:instrText>
          </w:r>
          <w:r>
            <w:rPr>
              <w:rFonts w:ascii="黑体" w:hAnsi="黑体" w:eastAsia="黑体"/>
              <w:sz w:val="22"/>
            </w:rPr>
            <w:fldChar w:fldCharType="separate"/>
          </w:r>
          <w:r>
            <w:rPr>
              <w:rFonts w:ascii="黑体" w:hAnsi="黑体" w:eastAsia="黑体"/>
              <w:sz w:val="22"/>
            </w:rPr>
            <w:t>2</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"_Toc533491204" </w:instrText>
          </w:r>
          <w:r>
            <w:fldChar w:fldCharType="separate"/>
          </w:r>
          <w:r>
            <w:rPr>
              <w:rStyle w:val="18"/>
              <w:rFonts w:hint="eastAsia" w:ascii="黑体" w:hAnsi="黑体" w:eastAsia="黑体"/>
              <w:sz w:val="22"/>
            </w:rPr>
            <w:t>（三）招生情况</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_Toc533491204 \h </w:instrText>
          </w:r>
          <w:r>
            <w:rPr>
              <w:rFonts w:ascii="黑体" w:hAnsi="黑体" w:eastAsia="黑体"/>
              <w:sz w:val="22"/>
            </w:rPr>
            <w:fldChar w:fldCharType="separate"/>
          </w:r>
          <w:r>
            <w:rPr>
              <w:rFonts w:ascii="黑体" w:hAnsi="黑体" w:eastAsia="黑体"/>
              <w:sz w:val="22"/>
            </w:rPr>
            <w:t>2</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"_Toc533491205" </w:instrText>
          </w:r>
          <w:r>
            <w:fldChar w:fldCharType="separate"/>
          </w:r>
          <w:r>
            <w:rPr>
              <w:rStyle w:val="18"/>
              <w:rFonts w:hint="eastAsia" w:ascii="黑体" w:hAnsi="黑体" w:eastAsia="黑体"/>
              <w:sz w:val="22"/>
            </w:rPr>
            <w:t>（四）学生就业情况</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_Toc533491205 \h </w:instrText>
          </w:r>
          <w:r>
            <w:rPr>
              <w:rFonts w:ascii="黑体" w:hAnsi="黑体" w:eastAsia="黑体"/>
              <w:sz w:val="22"/>
            </w:rPr>
            <w:fldChar w:fldCharType="separate"/>
          </w:r>
          <w:r>
            <w:rPr>
              <w:rFonts w:ascii="黑体" w:hAnsi="黑体" w:eastAsia="黑体"/>
              <w:sz w:val="22"/>
            </w:rPr>
            <w:t>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"_Toc533491206" </w:instrText>
          </w:r>
          <w:r>
            <w:fldChar w:fldCharType="separate"/>
          </w:r>
          <w:r>
            <w:rPr>
              <w:rStyle w:val="18"/>
              <w:rFonts w:hint="eastAsia" w:ascii="黑体" w:hAnsi="黑体" w:eastAsia="黑体"/>
              <w:sz w:val="22"/>
            </w:rPr>
            <w:t>（五）信息化建设情况</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_Toc533491206 \h </w:instrText>
          </w:r>
          <w:r>
            <w:rPr>
              <w:rFonts w:ascii="黑体" w:hAnsi="黑体" w:eastAsia="黑体"/>
              <w:sz w:val="22"/>
            </w:rPr>
            <w:fldChar w:fldCharType="separate"/>
          </w:r>
          <w:r>
            <w:rPr>
              <w:rFonts w:ascii="黑体" w:hAnsi="黑体" w:eastAsia="黑体"/>
              <w:sz w:val="22"/>
            </w:rPr>
            <w:t>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"_Toc533491207" </w:instrText>
          </w:r>
          <w:r>
            <w:fldChar w:fldCharType="separate"/>
          </w:r>
          <w:r>
            <w:rPr>
              <w:rStyle w:val="18"/>
              <w:rFonts w:hint="eastAsia" w:ascii="黑体" w:hAnsi="黑体" w:eastAsia="黑体"/>
              <w:sz w:val="22"/>
            </w:rPr>
            <w:t>（六）校内实践基地</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_Toc533491207 \h </w:instrText>
          </w:r>
          <w:r>
            <w:rPr>
              <w:rFonts w:ascii="黑体" w:hAnsi="黑体" w:eastAsia="黑体"/>
              <w:sz w:val="22"/>
            </w:rPr>
            <w:fldChar w:fldCharType="separate"/>
          </w:r>
          <w:r>
            <w:rPr>
              <w:rFonts w:ascii="黑体" w:hAnsi="黑体" w:eastAsia="黑体"/>
              <w:sz w:val="22"/>
            </w:rPr>
            <w:t>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"_Toc533491208" </w:instrText>
          </w:r>
          <w:r>
            <w:fldChar w:fldCharType="separate"/>
          </w:r>
          <w:r>
            <w:rPr>
              <w:rStyle w:val="18"/>
              <w:rFonts w:hint="eastAsia" w:ascii="黑体" w:hAnsi="黑体" w:eastAsia="黑体"/>
              <w:sz w:val="22"/>
            </w:rPr>
            <w:t>（七）校外实习实训基地</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_Toc533491208 \h </w:instrText>
          </w:r>
          <w:r>
            <w:rPr>
              <w:rFonts w:ascii="黑体" w:hAnsi="黑体" w:eastAsia="黑体"/>
              <w:sz w:val="22"/>
            </w:rPr>
            <w:fldChar w:fldCharType="separate"/>
          </w:r>
          <w:r>
            <w:rPr>
              <w:rFonts w:ascii="黑体" w:hAnsi="黑体" w:eastAsia="黑体"/>
              <w:sz w:val="22"/>
            </w:rPr>
            <w:t>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"_Toc533491209" </w:instrText>
          </w:r>
          <w:r>
            <w:fldChar w:fldCharType="separate"/>
          </w:r>
          <w:r>
            <w:rPr>
              <w:rStyle w:val="18"/>
              <w:rFonts w:hint="eastAsia" w:ascii="黑体" w:hAnsi="黑体" w:eastAsia="黑体"/>
              <w:sz w:val="22"/>
            </w:rPr>
            <w:t>（八）教职工情况</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_Toc533491209 \h </w:instrText>
          </w:r>
          <w:r>
            <w:rPr>
              <w:rFonts w:ascii="黑体" w:hAnsi="黑体" w:eastAsia="黑体"/>
              <w:sz w:val="22"/>
            </w:rPr>
            <w:fldChar w:fldCharType="separate"/>
          </w:r>
          <w:r>
            <w:rPr>
              <w:rFonts w:ascii="黑体" w:hAnsi="黑体" w:eastAsia="黑体"/>
              <w:sz w:val="22"/>
            </w:rPr>
            <w:t>4</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"_Toc533491210" </w:instrText>
          </w:r>
          <w:r>
            <w:fldChar w:fldCharType="separate"/>
          </w:r>
          <w:r>
            <w:rPr>
              <w:rStyle w:val="18"/>
              <w:rFonts w:hint="eastAsia" w:ascii="黑体" w:hAnsi="黑体" w:eastAsia="黑体"/>
              <w:sz w:val="22"/>
            </w:rPr>
            <w:t>（九）专任教师结构</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_Toc533491210 \h </w:instrText>
          </w:r>
          <w:r>
            <w:rPr>
              <w:rFonts w:ascii="黑体" w:hAnsi="黑体" w:eastAsia="黑体"/>
              <w:sz w:val="22"/>
            </w:rPr>
            <w:fldChar w:fldCharType="separate"/>
          </w:r>
          <w:r>
            <w:rPr>
              <w:rFonts w:ascii="黑体" w:hAnsi="黑体" w:eastAsia="黑体"/>
              <w:sz w:val="22"/>
            </w:rPr>
            <w:t>4</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"_Toc533491211" </w:instrText>
          </w:r>
          <w:r>
            <w:fldChar w:fldCharType="separate"/>
          </w:r>
          <w:r>
            <w:rPr>
              <w:rStyle w:val="18"/>
              <w:rFonts w:hint="eastAsia" w:ascii="黑体" w:hAnsi="黑体" w:eastAsia="黑体"/>
              <w:sz w:val="22"/>
            </w:rPr>
            <w:t>三、学生发展</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_Toc533491211 \h </w:instrText>
          </w:r>
          <w:r>
            <w:rPr>
              <w:rFonts w:ascii="黑体" w:hAnsi="黑体" w:eastAsia="黑体"/>
              <w:sz w:val="22"/>
            </w:rPr>
            <w:fldChar w:fldCharType="separate"/>
          </w:r>
          <w:r>
            <w:rPr>
              <w:rFonts w:ascii="黑体" w:hAnsi="黑体" w:eastAsia="黑体"/>
              <w:sz w:val="22"/>
            </w:rPr>
            <w:t>4</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"_Toc533491212" </w:instrText>
          </w:r>
          <w:r>
            <w:fldChar w:fldCharType="separate"/>
          </w:r>
          <w:r>
            <w:rPr>
              <w:rStyle w:val="18"/>
              <w:rFonts w:hint="eastAsia" w:ascii="黑体" w:hAnsi="黑体" w:eastAsia="黑体"/>
              <w:sz w:val="22"/>
            </w:rPr>
            <w:t>（一）个性发展与全面成长</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_Toc533491212 \h </w:instrText>
          </w:r>
          <w:r>
            <w:rPr>
              <w:rFonts w:ascii="黑体" w:hAnsi="黑体" w:eastAsia="黑体"/>
              <w:sz w:val="22"/>
            </w:rPr>
            <w:fldChar w:fldCharType="separate"/>
          </w:r>
          <w:r>
            <w:rPr>
              <w:rFonts w:ascii="黑体" w:hAnsi="黑体" w:eastAsia="黑体"/>
              <w:sz w:val="22"/>
            </w:rPr>
            <w:t>4</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"_Toc533491213" </w:instrText>
          </w:r>
          <w:r>
            <w:fldChar w:fldCharType="separate"/>
          </w:r>
          <w:r>
            <w:rPr>
              <w:rStyle w:val="18"/>
              <w:rFonts w:hint="eastAsia" w:ascii="黑体" w:hAnsi="黑体" w:eastAsia="黑体"/>
              <w:sz w:val="22"/>
            </w:rPr>
            <w:t>（二）培养效果与第三方评价</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_Toc533491213 \h </w:instrText>
          </w:r>
          <w:r>
            <w:rPr>
              <w:rFonts w:ascii="黑体" w:hAnsi="黑体" w:eastAsia="黑体"/>
              <w:sz w:val="22"/>
            </w:rPr>
            <w:fldChar w:fldCharType="separate"/>
          </w:r>
          <w:r>
            <w:rPr>
              <w:rFonts w:ascii="黑体" w:hAnsi="黑体" w:eastAsia="黑体"/>
              <w:sz w:val="22"/>
            </w:rPr>
            <w:t>16</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"_Toc533491214" </w:instrText>
          </w:r>
          <w:r>
            <w:fldChar w:fldCharType="separate"/>
          </w:r>
          <w:r>
            <w:rPr>
              <w:rStyle w:val="18"/>
              <w:rFonts w:hint="eastAsia" w:ascii="黑体" w:hAnsi="黑体" w:eastAsia="黑体"/>
              <w:sz w:val="22"/>
            </w:rPr>
            <w:t>四、教学改革</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_Toc533491214 \h </w:instrText>
          </w:r>
          <w:r>
            <w:rPr>
              <w:rFonts w:ascii="黑体" w:hAnsi="黑体" w:eastAsia="黑体"/>
              <w:sz w:val="22"/>
            </w:rPr>
            <w:fldChar w:fldCharType="separate"/>
          </w:r>
          <w:r>
            <w:rPr>
              <w:rFonts w:ascii="黑体" w:hAnsi="黑体" w:eastAsia="黑体"/>
              <w:sz w:val="22"/>
            </w:rPr>
            <w:t>23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"_Toc533491215" </w:instrText>
          </w:r>
          <w:r>
            <w:fldChar w:fldCharType="separate"/>
          </w:r>
          <w:r>
            <w:rPr>
              <w:rStyle w:val="18"/>
              <w:rFonts w:hint="eastAsia" w:ascii="黑体" w:hAnsi="黑体" w:eastAsia="黑体"/>
              <w:sz w:val="22"/>
            </w:rPr>
            <w:t>（一）培养理念及培养模式</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_Toc533491215 \h </w:instrText>
          </w:r>
          <w:r>
            <w:rPr>
              <w:rFonts w:ascii="黑体" w:hAnsi="黑体" w:eastAsia="黑体"/>
              <w:sz w:val="22"/>
            </w:rPr>
            <w:fldChar w:fldCharType="separate"/>
          </w:r>
          <w:r>
            <w:rPr>
              <w:rFonts w:ascii="黑体" w:hAnsi="黑体" w:eastAsia="黑体"/>
              <w:sz w:val="22"/>
            </w:rPr>
            <w:t>23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"_Toc533491216" </w:instrText>
          </w:r>
          <w:r>
            <w:fldChar w:fldCharType="separate"/>
          </w:r>
          <w:r>
            <w:rPr>
              <w:rStyle w:val="18"/>
              <w:rFonts w:hint="eastAsia" w:ascii="黑体" w:hAnsi="黑体" w:eastAsia="黑体"/>
              <w:sz w:val="22"/>
            </w:rPr>
            <w:t>（二）优化培养方案，提升人才质量</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_Toc533491216 \h </w:instrText>
          </w:r>
          <w:r>
            <w:rPr>
              <w:rFonts w:ascii="黑体" w:hAnsi="黑体" w:eastAsia="黑体"/>
              <w:sz w:val="22"/>
            </w:rPr>
            <w:fldChar w:fldCharType="separate"/>
          </w:r>
          <w:r>
            <w:rPr>
              <w:rFonts w:ascii="黑体" w:hAnsi="黑体" w:eastAsia="黑体"/>
              <w:sz w:val="22"/>
            </w:rPr>
            <w:t>31</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"_Toc533491217" </w:instrText>
          </w:r>
          <w:r>
            <w:fldChar w:fldCharType="separate"/>
          </w:r>
          <w:r>
            <w:rPr>
              <w:rStyle w:val="18"/>
              <w:rFonts w:hint="eastAsia" w:ascii="黑体" w:hAnsi="黑体" w:eastAsia="黑体"/>
              <w:sz w:val="22"/>
            </w:rPr>
            <w:t>（三）优化课程体系，规范实习管理</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_Toc533491217 \h </w:instrText>
          </w:r>
          <w:r>
            <w:rPr>
              <w:rFonts w:ascii="黑体" w:hAnsi="黑体" w:eastAsia="黑体"/>
              <w:sz w:val="22"/>
            </w:rPr>
            <w:fldChar w:fldCharType="separate"/>
          </w:r>
          <w:r>
            <w:rPr>
              <w:rFonts w:ascii="黑体" w:hAnsi="黑体" w:eastAsia="黑体"/>
              <w:sz w:val="22"/>
            </w:rPr>
            <w:t>31</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"_Toc533491218" </w:instrText>
          </w:r>
          <w:r>
            <w:fldChar w:fldCharType="separate"/>
          </w:r>
          <w:r>
            <w:rPr>
              <w:rStyle w:val="18"/>
              <w:rFonts w:hint="eastAsia" w:ascii="黑体" w:hAnsi="黑体" w:eastAsia="黑体"/>
              <w:sz w:val="22"/>
            </w:rPr>
            <w:t>（四）推进校企合作，加快现代学徒制建设</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_Toc533491218 \h </w:instrText>
          </w:r>
          <w:r>
            <w:rPr>
              <w:rFonts w:ascii="黑体" w:hAnsi="黑体" w:eastAsia="黑体"/>
              <w:sz w:val="22"/>
            </w:rPr>
            <w:fldChar w:fldCharType="separate"/>
          </w:r>
          <w:r>
            <w:rPr>
              <w:rFonts w:ascii="黑体" w:hAnsi="黑体" w:eastAsia="黑体"/>
              <w:sz w:val="22"/>
            </w:rPr>
            <w:t>32</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"_Toc533491219" </w:instrText>
          </w:r>
          <w:r>
            <w:fldChar w:fldCharType="separate"/>
          </w:r>
          <w:r>
            <w:rPr>
              <w:rStyle w:val="18"/>
              <w:rFonts w:hint="eastAsia" w:ascii="黑体" w:hAnsi="黑体" w:eastAsia="黑体"/>
              <w:sz w:val="22"/>
            </w:rPr>
            <w:t>五、政策保障</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_Toc533491219 \h </w:instrText>
          </w:r>
          <w:r>
            <w:rPr>
              <w:rFonts w:ascii="黑体" w:hAnsi="黑体" w:eastAsia="黑体"/>
              <w:sz w:val="22"/>
            </w:rPr>
            <w:fldChar w:fldCharType="separate"/>
          </w:r>
          <w:r>
            <w:rPr>
              <w:rFonts w:ascii="黑体" w:hAnsi="黑体" w:eastAsia="黑体"/>
              <w:sz w:val="22"/>
            </w:rPr>
            <w:t>33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"_Toc533491220" </w:instrText>
          </w:r>
          <w:r>
            <w:fldChar w:fldCharType="separate"/>
          </w:r>
          <w:r>
            <w:rPr>
              <w:rStyle w:val="18"/>
              <w:rFonts w:hint="eastAsia" w:ascii="黑体" w:hAnsi="黑体" w:eastAsia="黑体"/>
              <w:sz w:val="22"/>
            </w:rPr>
            <w:t>（一）制度保障</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_Toc533491220 \h </w:instrText>
          </w:r>
          <w:r>
            <w:rPr>
              <w:rFonts w:ascii="黑体" w:hAnsi="黑体" w:eastAsia="黑体"/>
              <w:sz w:val="22"/>
            </w:rPr>
            <w:fldChar w:fldCharType="separate"/>
          </w:r>
          <w:r>
            <w:rPr>
              <w:rFonts w:ascii="黑体" w:hAnsi="黑体" w:eastAsia="黑体"/>
              <w:sz w:val="22"/>
            </w:rPr>
            <w:t>33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"_Toc533491221" </w:instrText>
          </w:r>
          <w:r>
            <w:fldChar w:fldCharType="separate"/>
          </w:r>
          <w:r>
            <w:rPr>
              <w:rStyle w:val="18"/>
              <w:rFonts w:hint="eastAsia" w:ascii="黑体" w:hAnsi="黑体" w:eastAsia="黑体"/>
              <w:sz w:val="22"/>
            </w:rPr>
            <w:t>（二）经费保障</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_Toc533491221 \h </w:instrText>
          </w:r>
          <w:r>
            <w:rPr>
              <w:rFonts w:ascii="黑体" w:hAnsi="黑体" w:eastAsia="黑体"/>
              <w:sz w:val="22"/>
            </w:rPr>
            <w:fldChar w:fldCharType="separate"/>
          </w:r>
          <w:r>
            <w:rPr>
              <w:rFonts w:ascii="黑体" w:hAnsi="黑体" w:eastAsia="黑体"/>
              <w:sz w:val="22"/>
            </w:rPr>
            <w:t>34</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"_Toc533491222" </w:instrText>
          </w:r>
          <w:r>
            <w:fldChar w:fldCharType="separate"/>
          </w:r>
          <w:r>
            <w:rPr>
              <w:rStyle w:val="18"/>
              <w:rFonts w:hint="eastAsia" w:ascii="黑体" w:hAnsi="黑体" w:eastAsia="黑体"/>
              <w:sz w:val="22"/>
            </w:rPr>
            <w:t>六、国际合作</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_Toc533491222 \h </w:instrText>
          </w:r>
          <w:r>
            <w:rPr>
              <w:rFonts w:ascii="黑体" w:hAnsi="黑体" w:eastAsia="黑体"/>
              <w:sz w:val="22"/>
            </w:rPr>
            <w:fldChar w:fldCharType="separate"/>
          </w:r>
          <w:r>
            <w:rPr>
              <w:rFonts w:ascii="黑体" w:hAnsi="黑体" w:eastAsia="黑体"/>
              <w:sz w:val="22"/>
            </w:rPr>
            <w:t>35</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"_Toc533491223" </w:instrText>
          </w:r>
          <w:r>
            <w:fldChar w:fldCharType="separate"/>
          </w:r>
          <w:r>
            <w:rPr>
              <w:rStyle w:val="18"/>
              <w:rFonts w:hint="eastAsia" w:ascii="黑体" w:hAnsi="黑体" w:eastAsia="黑体"/>
              <w:sz w:val="22"/>
            </w:rPr>
            <w:t>（一）开展国际交流，落实“一带一路”倡议</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_Toc533491223 \h </w:instrText>
          </w:r>
          <w:r>
            <w:rPr>
              <w:rFonts w:ascii="黑体" w:hAnsi="黑体" w:eastAsia="黑体"/>
              <w:sz w:val="22"/>
            </w:rPr>
            <w:fldChar w:fldCharType="separate"/>
          </w:r>
          <w:r>
            <w:rPr>
              <w:rFonts w:ascii="黑体" w:hAnsi="黑体" w:eastAsia="黑体"/>
              <w:sz w:val="22"/>
            </w:rPr>
            <w:t>35</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"_Toc533491224" </w:instrText>
          </w:r>
          <w:r>
            <w:fldChar w:fldCharType="separate"/>
          </w:r>
          <w:r>
            <w:rPr>
              <w:rStyle w:val="18"/>
              <w:rFonts w:hint="eastAsia" w:ascii="黑体" w:hAnsi="黑体" w:eastAsia="黑体"/>
              <w:sz w:val="22"/>
            </w:rPr>
            <w:t>（二）深化合作办学，提升国际化办学水平</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_Toc533491224 \h </w:instrText>
          </w:r>
          <w:r>
            <w:rPr>
              <w:rFonts w:ascii="黑体" w:hAnsi="黑体" w:eastAsia="黑体"/>
              <w:sz w:val="22"/>
            </w:rPr>
            <w:fldChar w:fldCharType="separate"/>
          </w:r>
          <w:r>
            <w:rPr>
              <w:rFonts w:ascii="黑体" w:hAnsi="黑体" w:eastAsia="黑体"/>
              <w:sz w:val="22"/>
            </w:rPr>
            <w:t>36</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"_Toc533491225" </w:instrText>
          </w:r>
          <w:r>
            <w:fldChar w:fldCharType="separate"/>
          </w:r>
          <w:r>
            <w:rPr>
              <w:rStyle w:val="18"/>
              <w:rFonts w:hint="eastAsia" w:ascii="黑体" w:hAnsi="黑体" w:eastAsia="黑体"/>
              <w:sz w:val="22"/>
            </w:rPr>
            <w:t>七、服务贡献</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_Toc533491225 \h </w:instrText>
          </w:r>
          <w:r>
            <w:rPr>
              <w:rFonts w:ascii="黑体" w:hAnsi="黑体" w:eastAsia="黑体"/>
              <w:sz w:val="22"/>
            </w:rPr>
            <w:fldChar w:fldCharType="separate"/>
          </w:r>
          <w:r>
            <w:rPr>
              <w:rFonts w:ascii="黑体" w:hAnsi="黑体" w:eastAsia="黑体"/>
              <w:sz w:val="22"/>
            </w:rPr>
            <w:t>37</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"_Toc533491226" </w:instrText>
          </w:r>
          <w:r>
            <w:fldChar w:fldCharType="separate"/>
          </w:r>
          <w:r>
            <w:rPr>
              <w:rStyle w:val="18"/>
              <w:rFonts w:hint="eastAsia" w:ascii="黑体" w:hAnsi="黑体" w:eastAsia="黑体"/>
              <w:sz w:val="22"/>
            </w:rPr>
            <w:t>（一）教育精准扶贫，造福一方百姓</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_Toc533491226 \h </w:instrText>
          </w:r>
          <w:r>
            <w:rPr>
              <w:rFonts w:ascii="黑体" w:hAnsi="黑体" w:eastAsia="黑体"/>
              <w:sz w:val="22"/>
            </w:rPr>
            <w:fldChar w:fldCharType="separate"/>
          </w:r>
          <w:r>
            <w:rPr>
              <w:rFonts w:ascii="黑体" w:hAnsi="黑体" w:eastAsia="黑体"/>
              <w:sz w:val="22"/>
            </w:rPr>
            <w:t>37</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"_Toc533491227" </w:instrText>
          </w:r>
          <w:r>
            <w:fldChar w:fldCharType="separate"/>
          </w:r>
          <w:r>
            <w:rPr>
              <w:rStyle w:val="18"/>
              <w:rFonts w:hint="eastAsia" w:ascii="黑体" w:hAnsi="黑体" w:eastAsia="黑体"/>
              <w:sz w:val="22"/>
            </w:rPr>
            <w:t>（二）拓展社会培训，职业教育、培训两手抓</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_Toc533491227 \h </w:instrText>
          </w:r>
          <w:r>
            <w:rPr>
              <w:rFonts w:ascii="黑体" w:hAnsi="黑体" w:eastAsia="黑体"/>
              <w:sz w:val="22"/>
            </w:rPr>
            <w:fldChar w:fldCharType="separate"/>
          </w:r>
          <w:r>
            <w:rPr>
              <w:rFonts w:ascii="黑体" w:hAnsi="黑体" w:eastAsia="黑体"/>
              <w:sz w:val="22"/>
            </w:rPr>
            <w:t>40</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"_Toc533491228" </w:instrText>
          </w:r>
          <w:r>
            <w:fldChar w:fldCharType="separate"/>
          </w:r>
          <w:r>
            <w:rPr>
              <w:rStyle w:val="18"/>
              <w:rFonts w:hint="eastAsia" w:ascii="黑体" w:hAnsi="黑体" w:eastAsia="黑体"/>
              <w:sz w:val="22"/>
            </w:rPr>
            <w:t>（三）承担社会化考试阅卷，提升社会影响</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_Toc533491228 \h </w:instrText>
          </w:r>
          <w:r>
            <w:rPr>
              <w:rFonts w:ascii="黑体" w:hAnsi="黑体" w:eastAsia="黑体"/>
              <w:sz w:val="22"/>
            </w:rPr>
            <w:fldChar w:fldCharType="separate"/>
          </w:r>
          <w:r>
            <w:rPr>
              <w:rFonts w:ascii="黑体" w:hAnsi="黑体" w:eastAsia="黑体"/>
              <w:sz w:val="22"/>
            </w:rPr>
            <w:t>41</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"_Toc533491229" </w:instrText>
          </w:r>
          <w:r>
            <w:fldChar w:fldCharType="separate"/>
          </w:r>
          <w:r>
            <w:rPr>
              <w:rStyle w:val="18"/>
              <w:rFonts w:hint="eastAsia" w:ascii="黑体" w:hAnsi="黑体" w:eastAsia="黑体"/>
              <w:sz w:val="22"/>
            </w:rPr>
            <w:t>（四）承办国赛省赛，彰显专业优势</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_Toc533491229 \h </w:instrText>
          </w:r>
          <w:r>
            <w:rPr>
              <w:rFonts w:ascii="黑体" w:hAnsi="黑体" w:eastAsia="黑体"/>
              <w:sz w:val="22"/>
            </w:rPr>
            <w:fldChar w:fldCharType="separate"/>
          </w:r>
          <w:r>
            <w:rPr>
              <w:rFonts w:ascii="黑体" w:hAnsi="黑体" w:eastAsia="黑体"/>
              <w:sz w:val="22"/>
            </w:rPr>
            <w:t>42</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黑体" w:hAnsi="黑体" w:eastAsia="黑体" w:cstheme="minorBidi"/>
              <w:sz w:val="22"/>
              <w:szCs w:val="22"/>
            </w:rPr>
          </w:pPr>
          <w:r>
            <w:fldChar w:fldCharType="begin"/>
          </w:r>
          <w:r>
            <w:instrText xml:space="preserve"> HYPERLINK \l "_Toc533491230" </w:instrText>
          </w:r>
          <w:r>
            <w:fldChar w:fldCharType="separate"/>
          </w:r>
          <w:r>
            <w:rPr>
              <w:rStyle w:val="18"/>
              <w:rFonts w:hint="eastAsia" w:ascii="黑体" w:hAnsi="黑体" w:eastAsia="黑体"/>
              <w:sz w:val="22"/>
            </w:rPr>
            <w:t>八、面临挑战</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_Toc533491230 \h </w:instrText>
          </w:r>
          <w:r>
            <w:rPr>
              <w:rFonts w:ascii="黑体" w:hAnsi="黑体" w:eastAsia="黑体"/>
              <w:sz w:val="22"/>
            </w:rPr>
            <w:fldChar w:fldCharType="separate"/>
          </w:r>
          <w:r>
            <w:rPr>
              <w:rFonts w:ascii="黑体" w:hAnsi="黑体" w:eastAsia="黑体"/>
              <w:sz w:val="22"/>
            </w:rPr>
            <w:t>43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"_Toc533491231" </w:instrText>
          </w:r>
          <w:r>
            <w:fldChar w:fldCharType="separate"/>
          </w:r>
          <w:r>
            <w:rPr>
              <w:rStyle w:val="18"/>
              <w:rFonts w:hint="eastAsia" w:ascii="黑体" w:hAnsi="黑体" w:eastAsia="黑体" w:cstheme="majorBidi"/>
              <w:bCs/>
              <w:sz w:val="22"/>
            </w:rPr>
            <w:t>（一）“互联网</w:t>
          </w:r>
          <w:r>
            <w:rPr>
              <w:rStyle w:val="18"/>
              <w:rFonts w:ascii="黑体" w:hAnsi="黑体" w:eastAsia="黑体" w:cstheme="majorBidi"/>
              <w:bCs/>
              <w:sz w:val="22"/>
            </w:rPr>
            <w:t>+</w:t>
          </w:r>
          <w:r>
            <w:rPr>
              <w:rStyle w:val="18"/>
              <w:rFonts w:hint="eastAsia" w:ascii="黑体" w:hAnsi="黑体" w:eastAsia="黑体" w:cstheme="majorBidi"/>
              <w:bCs/>
              <w:sz w:val="22"/>
            </w:rPr>
            <w:t>”时代的教育教学改革</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_Toc533491231 \h </w:instrText>
          </w:r>
          <w:r>
            <w:rPr>
              <w:rFonts w:ascii="黑体" w:hAnsi="黑体" w:eastAsia="黑体"/>
              <w:sz w:val="22"/>
            </w:rPr>
            <w:fldChar w:fldCharType="separate"/>
          </w:r>
          <w:r>
            <w:rPr>
              <w:rFonts w:ascii="黑体" w:hAnsi="黑体" w:eastAsia="黑体"/>
              <w:sz w:val="22"/>
            </w:rPr>
            <w:t>43</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"_Toc533491232" </w:instrText>
          </w:r>
          <w:r>
            <w:fldChar w:fldCharType="separate"/>
          </w:r>
          <w:r>
            <w:rPr>
              <w:rStyle w:val="18"/>
              <w:rFonts w:hint="eastAsia" w:ascii="黑体" w:hAnsi="黑体" w:eastAsia="黑体" w:cstheme="majorBidi"/>
              <w:bCs/>
              <w:sz w:val="22"/>
            </w:rPr>
            <w:t>（二）供给侧和需求侧结构要素全方位融合发展</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_Toc533491232 \h </w:instrText>
          </w:r>
          <w:r>
            <w:rPr>
              <w:rFonts w:ascii="黑体" w:hAnsi="黑体" w:eastAsia="黑体"/>
              <w:sz w:val="22"/>
            </w:rPr>
            <w:fldChar w:fldCharType="separate"/>
          </w:r>
          <w:r>
            <w:rPr>
              <w:rFonts w:ascii="黑体" w:hAnsi="黑体" w:eastAsia="黑体"/>
              <w:sz w:val="22"/>
            </w:rPr>
            <w:t>44</w:t>
          </w:r>
          <w:r>
            <w:rPr>
              <w:rFonts w:ascii="黑体" w:hAnsi="黑体" w:eastAsia="黑体"/>
              <w:sz w:val="22"/>
            </w:rPr>
            <w:fldChar w:fldCharType="end"/>
          </w:r>
          <w:r>
            <w:rPr>
              <w:rFonts w:ascii="黑体" w:hAnsi="黑体" w:eastAsia="黑体"/>
              <w:sz w:val="22"/>
            </w:rPr>
            <w:fldChar w:fldCharType="end"/>
          </w:r>
        </w:p>
        <w:p>
          <w:pPr>
            <w:pStyle w:val="13"/>
            <w:tabs>
              <w:tab w:val="right" w:leader="dot" w:pos="8296"/>
            </w:tabs>
            <w:spacing w:line="269" w:lineRule="auto"/>
            <w:rPr>
              <w:rFonts w:ascii="黑体" w:hAnsi="黑体" w:eastAsia="黑体" w:cstheme="minorBidi"/>
              <w:sz w:val="22"/>
              <w:szCs w:val="22"/>
            </w:rPr>
          </w:pPr>
          <w:r>
            <w:fldChar w:fldCharType="begin"/>
          </w:r>
          <w:r>
            <w:instrText xml:space="preserve"> HYPERLINK \l "_Toc533491233" </w:instrText>
          </w:r>
          <w:r>
            <w:fldChar w:fldCharType="separate"/>
          </w:r>
          <w:r>
            <w:rPr>
              <w:rStyle w:val="18"/>
              <w:rFonts w:hint="eastAsia" w:ascii="黑体" w:hAnsi="黑体" w:eastAsia="黑体" w:cstheme="majorBidi"/>
              <w:bCs/>
              <w:sz w:val="22"/>
            </w:rPr>
            <w:t>（三）以提高人才培养质量为目标的内部治理体系建设</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_Toc533491233 \h </w:instrText>
          </w:r>
          <w:r>
            <w:rPr>
              <w:rFonts w:ascii="黑体" w:hAnsi="黑体" w:eastAsia="黑体"/>
              <w:sz w:val="22"/>
            </w:rPr>
            <w:fldChar w:fldCharType="separate"/>
          </w:r>
          <w:r>
            <w:rPr>
              <w:rFonts w:ascii="黑体" w:hAnsi="黑体" w:eastAsia="黑体"/>
              <w:sz w:val="22"/>
            </w:rPr>
            <w:t>44</w:t>
          </w:r>
          <w:r>
            <w:rPr>
              <w:rFonts w:ascii="黑体" w:hAnsi="黑体" w:eastAsia="黑体"/>
              <w:sz w:val="22"/>
            </w:rPr>
            <w:fldChar w:fldCharType="end"/>
          </w:r>
          <w:r>
            <w:rPr>
              <w:rFonts w:ascii="黑体" w:hAnsi="黑体" w:eastAsia="黑体"/>
              <w:sz w:val="22"/>
            </w:rPr>
            <w:fldChar w:fldCharType="end"/>
          </w:r>
        </w:p>
        <w:p>
          <w:pPr>
            <w:pStyle w:val="12"/>
            <w:tabs>
              <w:tab w:val="right" w:leader="dot" w:pos="8296"/>
            </w:tabs>
            <w:spacing w:line="269" w:lineRule="auto"/>
            <w:rPr>
              <w:rFonts w:asciiTheme="minorHAnsi" w:hAnsiTheme="minorHAnsi" w:eastAsiaTheme="minorEastAsia" w:cstheme="minorBidi"/>
              <w:szCs w:val="22"/>
            </w:rPr>
          </w:pPr>
          <w:r>
            <w:fldChar w:fldCharType="begin"/>
          </w:r>
          <w:r>
            <w:instrText xml:space="preserve"> HYPERLINK \l "_Toc533491234" </w:instrText>
          </w:r>
          <w:r>
            <w:fldChar w:fldCharType="separate"/>
          </w:r>
          <w:r>
            <w:rPr>
              <w:rStyle w:val="18"/>
              <w:rFonts w:hint="eastAsia" w:ascii="黑体" w:hAnsi="黑体" w:eastAsia="黑体"/>
              <w:sz w:val="22"/>
            </w:rPr>
            <w:t>九、附表</w:t>
          </w:r>
          <w:r>
            <w:rPr>
              <w:rFonts w:ascii="黑体" w:hAnsi="黑体" w:eastAsia="黑体"/>
              <w:sz w:val="22"/>
            </w:rPr>
            <w:tab/>
          </w:r>
          <w:r>
            <w:rPr>
              <w:rFonts w:ascii="黑体" w:hAnsi="黑体" w:eastAsia="黑体"/>
              <w:sz w:val="22"/>
            </w:rPr>
            <w:fldChar w:fldCharType="begin"/>
          </w:r>
          <w:r>
            <w:rPr>
              <w:rFonts w:ascii="黑体" w:hAnsi="黑体" w:eastAsia="黑体"/>
              <w:sz w:val="22"/>
            </w:rPr>
            <w:instrText xml:space="preserve"> PAGEREF _Toc533491234 \h </w:instrText>
          </w:r>
          <w:r>
            <w:rPr>
              <w:rFonts w:ascii="黑体" w:hAnsi="黑体" w:eastAsia="黑体"/>
              <w:sz w:val="22"/>
            </w:rPr>
            <w:fldChar w:fldCharType="separate"/>
          </w:r>
          <w:r>
            <w:rPr>
              <w:rFonts w:ascii="黑体" w:hAnsi="黑体" w:eastAsia="黑体"/>
              <w:sz w:val="22"/>
            </w:rPr>
            <w:t>44</w:t>
          </w:r>
          <w:r>
            <w:rPr>
              <w:rFonts w:ascii="黑体" w:hAnsi="黑体" w:eastAsia="黑体"/>
              <w:sz w:val="22"/>
            </w:rPr>
            <w:fldChar w:fldCharType="end"/>
          </w:r>
          <w:r>
            <w:rPr>
              <w:rFonts w:ascii="黑体" w:hAnsi="黑体" w:eastAsia="黑体"/>
              <w:sz w:val="22"/>
            </w:rPr>
            <w:fldChar w:fldCharType="end"/>
          </w:r>
        </w:p>
        <w:p>
          <w:r>
            <w:rPr>
              <w:rFonts w:ascii="黑体" w:hAnsi="黑体" w:eastAsia="黑体"/>
              <w:b/>
              <w:bCs/>
              <w:lang w:val="zh-CN"/>
            </w:rPr>
            <w:fldChar w:fldCharType="end"/>
          </w:r>
        </w:p>
      </w:sdtContent>
    </w:sdt>
    <w:p>
      <w:pPr>
        <w:pStyle w:val="2"/>
        <w:spacing w:before="0" w:after="0" w:line="360" w:lineRule="auto"/>
        <w:rPr>
          <w:rFonts w:hint="eastAsia" w:ascii="仿宋" w:hAnsi="仿宋" w:eastAsia="仿宋"/>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850" w:gutter="0"/>
          <w:pgNumType w:start="1"/>
          <w:cols w:space="425" w:num="1"/>
          <w:docGrid w:type="lines" w:linePitch="312" w:charSpace="0"/>
        </w:sectPr>
      </w:pPr>
      <w:bookmarkStart w:id="0" w:name="_Toc533491200"/>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一、学院概况</w:t>
      </w:r>
      <w:bookmarkEnd w:id="0"/>
    </w:p>
    <w:p>
      <w:pPr>
        <w:spacing w:line="360" w:lineRule="auto"/>
        <w:ind w:firstLine="480" w:firstLineChars="200"/>
        <w:rPr>
          <w:rFonts w:ascii="仿宋" w:hAnsi="仿宋" w:eastAsia="仿宋" w:cs="黑体"/>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四川财经职业学院创建于1963年，隶属四川省财政厅。学院自升格为高职院校以来，遵循高等职业教育和学生成长发展规律，坚持“以人为本、质量立校、追求进取、社会满意”的办学理念，以</w:t>
      </w:r>
      <w:r>
        <w:rPr>
          <w:rFonts w:hint="eastAsia" w:ascii="仿宋" w:hAnsi="仿宋" w:eastAsia="仿宋" w:cs="宋体"/>
          <w:color w:val="0D0D0D" w:themeColor="text1" w:themeTint="F2"/>
          <w:kern w:val="0"/>
          <w:sz w:val="24"/>
          <w14:textFill>
            <w14:solidFill>
              <w14:schemeClr w14:val="tx1">
                <w14:lumMod w14:val="95000"/>
                <w14:lumOff w14:val="5000"/>
              </w14:schemeClr>
            </w14:solidFill>
          </w14:textFill>
        </w:rPr>
        <w:t>培养“品德高、技能精、善沟通、行为美、身心健、会经营的发展型、复合型、创新型技术技能人才</w:t>
      </w:r>
      <w:r>
        <w:rPr>
          <w:rFonts w:hint="eastAsia" w:ascii="仿宋" w:hAnsi="仿宋" w:eastAsia="仿宋"/>
          <w:color w:val="0D0D0D" w:themeColor="text1" w:themeTint="F2"/>
          <w:sz w:val="24"/>
          <w14:textFill>
            <w14:solidFill>
              <w14:schemeClr w14:val="tx1">
                <w14:lumMod w14:val="95000"/>
                <w14:lumOff w14:val="5000"/>
              </w14:schemeClr>
            </w14:solidFill>
          </w14:textFill>
        </w:rPr>
        <w:t>”为使命，坚持以财经为特色的发展道路，立足行业办学，努力建设全国一流财经类高职院校，是省级示范性高职院校、四川省优质高职院校建设学校、全国财经职业教育教学指导委员会委员单位、四川财经职业教育联盟牵头单位、省公务员培训施教机构和省财政干部继续教育培训基地。2017年，学院</w:t>
      </w:r>
      <w:r>
        <w:rPr>
          <w:rFonts w:ascii="仿宋" w:hAnsi="仿宋" w:eastAsia="仿宋"/>
          <w:color w:val="0D0D0D" w:themeColor="text1" w:themeTint="F2"/>
          <w:sz w:val="24"/>
          <w14:textFill>
            <w14:solidFill>
              <w14:schemeClr w14:val="tx1">
                <w14:lumMod w14:val="95000"/>
                <w14:lumOff w14:val="5000"/>
              </w14:schemeClr>
            </w14:solidFill>
          </w14:textFill>
        </w:rPr>
        <w:t>被授予全省首批“法制宣传教育示范基地”，荣获“四川省第一届文明校园”荣誉称号</w:t>
      </w:r>
      <w:r>
        <w:rPr>
          <w:rFonts w:hint="eastAsia" w:ascii="仿宋" w:hAnsi="仿宋" w:eastAsia="仿宋"/>
          <w:color w:val="0D0D0D" w:themeColor="text1" w:themeTint="F2"/>
          <w:sz w:val="24"/>
          <w14:textFill>
            <w14:solidFill>
              <w14:schemeClr w14:val="tx1">
                <w14:lumMod w14:val="95000"/>
                <w14:lumOff w14:val="5000"/>
              </w14:schemeClr>
            </w14:solidFill>
          </w14:textFill>
        </w:rPr>
        <w:t>。2018年，学院荣获“2017年脱贫攻坚先进集体”。</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1" w:name="_Toc533491201"/>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二、基础数据</w:t>
      </w:r>
      <w:bookmarkEnd w:id="1"/>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2" w:name="_Toc533491202"/>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（一）占地、建筑面积</w:t>
      </w:r>
      <w:bookmarkEnd w:id="2"/>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学院生均占地面积56.01平方米/生；生均教学行政用房9.98平方米/生，均高于高职院校办学条件评估标准，本年新增校舍221.48平方米。详细数据见表2.1。</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表2.1　占地、建筑面积(平方米)</w:t>
      </w:r>
    </w:p>
    <w:tbl>
      <w:tblPr>
        <w:tblStyle w:val="19"/>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467"/>
        <w:gridCol w:w="1397"/>
        <w:gridCol w:w="184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497"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占地面积</w:t>
            </w:r>
          </w:p>
        </w:tc>
        <w:tc>
          <w:tcPr>
            <w:tcW w:w="1467"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总建筑面积</w:t>
            </w:r>
          </w:p>
        </w:tc>
        <w:tc>
          <w:tcPr>
            <w:tcW w:w="3240" w:type="dxa"/>
            <w:gridSpan w:val="2"/>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其中学校产权校舍建筑面积</w:t>
            </w:r>
          </w:p>
        </w:tc>
        <w:tc>
          <w:tcPr>
            <w:tcW w:w="2268"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教学科研及辅助用房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97"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467"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397"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合计</w:t>
            </w:r>
          </w:p>
        </w:tc>
        <w:tc>
          <w:tcPr>
            <w:tcW w:w="1843"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当年新增校舍</w:t>
            </w:r>
          </w:p>
        </w:tc>
        <w:tc>
          <w:tcPr>
            <w:tcW w:w="2268"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497"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349,392.00 </w:t>
            </w:r>
          </w:p>
        </w:tc>
        <w:tc>
          <w:tcPr>
            <w:tcW w:w="1467"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154</w:t>
            </w:r>
            <w:r>
              <w:rPr>
                <w:rFonts w:hint="eastAsia" w:ascii="仿宋" w:hAnsi="仿宋" w:eastAsia="仿宋"/>
                <w:color w:val="0D0D0D" w:themeColor="text1" w:themeTint="F2"/>
                <w:szCs w:val="21"/>
                <w14:textFill>
                  <w14:solidFill>
                    <w14:schemeClr w14:val="tx1">
                      <w14:lumMod w14:val="95000"/>
                      <w14:lumOff w14:val="5000"/>
                    </w14:schemeClr>
                  </w14:solidFill>
                </w14:textFill>
              </w:rPr>
              <w:t>,</w:t>
            </w:r>
            <w:r>
              <w:rPr>
                <w:rFonts w:ascii="仿宋" w:hAnsi="仿宋" w:eastAsia="仿宋"/>
                <w:color w:val="0D0D0D" w:themeColor="text1" w:themeTint="F2"/>
                <w:szCs w:val="21"/>
                <w14:textFill>
                  <w14:solidFill>
                    <w14:schemeClr w14:val="tx1">
                      <w14:lumMod w14:val="95000"/>
                      <w14:lumOff w14:val="5000"/>
                    </w14:schemeClr>
                  </w14:solidFill>
                </w14:textFill>
              </w:rPr>
              <w:t>219.48</w:t>
            </w:r>
          </w:p>
        </w:tc>
        <w:tc>
          <w:tcPr>
            <w:tcW w:w="1397"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154,219.48 </w:t>
            </w:r>
          </w:p>
        </w:tc>
        <w:tc>
          <w:tcPr>
            <w:tcW w:w="1843"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221.48 </w:t>
            </w:r>
          </w:p>
        </w:tc>
        <w:tc>
          <w:tcPr>
            <w:tcW w:w="2268"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53,501.50 </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3" w:name="_Toc533491203"/>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（二）馆藏图书资料</w:t>
      </w:r>
      <w:bookmarkEnd w:id="3"/>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学院拥有丰富的财经类纸质和电子图书资料，生均图书（纸质及电子）拥有量达88.26册/生，高于全国</w:t>
      </w:r>
      <w:r>
        <w:rPr>
          <w:rFonts w:ascii="仿宋" w:hAnsi="仿宋" w:eastAsia="仿宋"/>
          <w:color w:val="0D0D0D" w:themeColor="text1" w:themeTint="F2"/>
          <w:kern w:val="0"/>
          <w:sz w:val="24"/>
          <w14:textFill>
            <w14:solidFill>
              <w14:schemeClr w14:val="tx1">
                <w14:lumMod w14:val="95000"/>
                <w14:lumOff w14:val="5000"/>
              </w14:schemeClr>
            </w14:solidFill>
          </w14:textFill>
        </w:rPr>
        <w:t>同类中位数</w:t>
      </w: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。详细数据见表2.2。</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表2.2　馆藏图书资料</w:t>
      </w: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496"/>
        <w:gridCol w:w="1984"/>
        <w:gridCol w:w="1990"/>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802" w:type="dxa"/>
            <w:gridSpan w:val="2"/>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bCs/>
                <w:color w:val="0D0D0D" w:themeColor="text1" w:themeTint="F2"/>
                <w:kern w:val="0"/>
                <w:szCs w:val="21"/>
                <w14:textFill>
                  <w14:solidFill>
                    <w14:schemeClr w14:val="tx1">
                      <w14:lumMod w14:val="95000"/>
                      <w14:lumOff w14:val="5000"/>
                    </w14:schemeClr>
                  </w14:solidFill>
                </w14:textFill>
              </w:rPr>
              <w:t>图书（纸质及电子）</w:t>
            </w:r>
            <w:r>
              <w:rPr>
                <w:rFonts w:hint="eastAsia" w:ascii="仿宋" w:hAnsi="仿宋" w:eastAsia="仿宋"/>
                <w:color w:val="0D0D0D" w:themeColor="text1" w:themeTint="F2"/>
                <w:szCs w:val="21"/>
                <w14:textFill>
                  <w14:solidFill>
                    <w14:schemeClr w14:val="tx1">
                      <w14:lumMod w14:val="95000"/>
                      <w14:lumOff w14:val="5000"/>
                    </w14:schemeClr>
                  </w14:solidFill>
                </w14:textFill>
              </w:rPr>
              <w:t>（万册）</w:t>
            </w:r>
          </w:p>
        </w:tc>
        <w:tc>
          <w:tcPr>
            <w:tcW w:w="5720" w:type="dxa"/>
            <w:gridSpan w:val="3"/>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专业期刊（种）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3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总册数</w:t>
            </w:r>
          </w:p>
        </w:tc>
        <w:tc>
          <w:tcPr>
            <w:tcW w:w="149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其中纸质</w:t>
            </w:r>
          </w:p>
        </w:tc>
        <w:tc>
          <w:tcPr>
            <w:tcW w:w="1984"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中文纸质专业期刊</w:t>
            </w:r>
          </w:p>
        </w:tc>
        <w:tc>
          <w:tcPr>
            <w:tcW w:w="199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外文纸质专业期刊</w:t>
            </w:r>
          </w:p>
        </w:tc>
        <w:tc>
          <w:tcPr>
            <w:tcW w:w="174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电子专业期刊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3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81.76</w:t>
            </w:r>
          </w:p>
        </w:tc>
        <w:tc>
          <w:tcPr>
            <w:tcW w:w="1496" w:type="dxa"/>
            <w:shd w:val="clear" w:color="auto" w:fill="auto"/>
            <w:vAlign w:val="center"/>
          </w:tcPr>
          <w:p>
            <w:pPr>
              <w:jc w:val="center"/>
              <w:rPr>
                <w:rFonts w:ascii="仿宋" w:hAnsi="仿宋" w:eastAsia="仿宋" w:cs="宋体"/>
                <w:color w:val="0D0D0D" w:themeColor="text1" w:themeTint="F2"/>
                <w:sz w:val="20"/>
                <w:szCs w:val="20"/>
                <w14:textFill>
                  <w14:solidFill>
                    <w14:schemeClr w14:val="tx1">
                      <w14:lumMod w14:val="95000"/>
                      <w14:lumOff w14:val="5000"/>
                    </w14:schemeClr>
                  </w14:solidFill>
                </w14:textFill>
              </w:rPr>
            </w:pPr>
            <w:r>
              <w:rPr>
                <w:rFonts w:hint="eastAsia" w:ascii="仿宋" w:hAnsi="仿宋" w:eastAsia="仿宋"/>
                <w:color w:val="0D0D0D" w:themeColor="text1" w:themeTint="F2"/>
                <w:sz w:val="20"/>
                <w:szCs w:val="20"/>
                <w14:textFill>
                  <w14:solidFill>
                    <w14:schemeClr w14:val="tx1">
                      <w14:lumMod w14:val="95000"/>
                      <w14:lumOff w14:val="5000"/>
                    </w14:schemeClr>
                  </w14:solidFill>
                </w14:textFill>
              </w:rPr>
              <w:t xml:space="preserve">55.06 </w:t>
            </w:r>
          </w:p>
        </w:tc>
        <w:tc>
          <w:tcPr>
            <w:tcW w:w="1984" w:type="dxa"/>
            <w:shd w:val="clear" w:color="auto" w:fill="auto"/>
            <w:vAlign w:val="center"/>
          </w:tcPr>
          <w:p>
            <w:pPr>
              <w:jc w:val="center"/>
              <w:rPr>
                <w:rFonts w:ascii="仿宋" w:hAnsi="仿宋" w:eastAsia="仿宋" w:cs="宋体"/>
                <w:color w:val="0D0D0D" w:themeColor="text1" w:themeTint="F2"/>
                <w:sz w:val="20"/>
                <w:szCs w:val="20"/>
                <w14:textFill>
                  <w14:solidFill>
                    <w14:schemeClr w14:val="tx1">
                      <w14:lumMod w14:val="95000"/>
                      <w14:lumOff w14:val="5000"/>
                    </w14:schemeClr>
                  </w14:solidFill>
                </w14:textFill>
              </w:rPr>
            </w:pPr>
            <w:r>
              <w:rPr>
                <w:rFonts w:hint="eastAsia" w:ascii="仿宋" w:hAnsi="仿宋" w:eastAsia="仿宋"/>
                <w:color w:val="0D0D0D" w:themeColor="text1" w:themeTint="F2"/>
                <w:sz w:val="20"/>
                <w:szCs w:val="20"/>
                <w14:textFill>
                  <w14:solidFill>
                    <w14:schemeClr w14:val="tx1">
                      <w14:lumMod w14:val="95000"/>
                      <w14:lumOff w14:val="5000"/>
                    </w14:schemeClr>
                  </w14:solidFill>
                </w14:textFill>
              </w:rPr>
              <w:t xml:space="preserve">1,221.00 </w:t>
            </w:r>
          </w:p>
        </w:tc>
        <w:tc>
          <w:tcPr>
            <w:tcW w:w="1990" w:type="dxa"/>
            <w:shd w:val="clear" w:color="auto" w:fill="auto"/>
            <w:vAlign w:val="center"/>
          </w:tcPr>
          <w:p>
            <w:pPr>
              <w:jc w:val="center"/>
              <w:rPr>
                <w:rFonts w:ascii="仿宋" w:hAnsi="仿宋" w:eastAsia="仿宋" w:cs="宋体"/>
                <w:color w:val="0D0D0D" w:themeColor="text1" w:themeTint="F2"/>
                <w:sz w:val="20"/>
                <w:szCs w:val="20"/>
                <w14:textFill>
                  <w14:solidFill>
                    <w14:schemeClr w14:val="tx1">
                      <w14:lumMod w14:val="95000"/>
                      <w14:lumOff w14:val="5000"/>
                    </w14:schemeClr>
                  </w14:solidFill>
                </w14:textFill>
              </w:rPr>
            </w:pPr>
            <w:r>
              <w:rPr>
                <w:rFonts w:hint="eastAsia" w:ascii="仿宋" w:hAnsi="仿宋" w:eastAsia="仿宋"/>
                <w:color w:val="0D0D0D" w:themeColor="text1" w:themeTint="F2"/>
                <w:sz w:val="20"/>
                <w:szCs w:val="20"/>
                <w14:textFill>
                  <w14:solidFill>
                    <w14:schemeClr w14:val="tx1">
                      <w14:lumMod w14:val="95000"/>
                      <w14:lumOff w14:val="5000"/>
                    </w14:schemeClr>
                  </w14:solidFill>
                </w14:textFill>
              </w:rPr>
              <w:t xml:space="preserve">25.00 </w:t>
            </w:r>
          </w:p>
        </w:tc>
        <w:tc>
          <w:tcPr>
            <w:tcW w:w="1746" w:type="dxa"/>
            <w:shd w:val="clear" w:color="auto" w:fill="auto"/>
            <w:vAlign w:val="center"/>
          </w:tcPr>
          <w:p>
            <w:pPr>
              <w:jc w:val="center"/>
              <w:rPr>
                <w:rFonts w:ascii="仿宋" w:hAnsi="仿宋" w:eastAsia="仿宋" w:cs="宋体"/>
                <w:color w:val="0D0D0D" w:themeColor="text1" w:themeTint="F2"/>
                <w:sz w:val="20"/>
                <w:szCs w:val="20"/>
                <w14:textFill>
                  <w14:solidFill>
                    <w14:schemeClr w14:val="tx1">
                      <w14:lumMod w14:val="95000"/>
                      <w14:lumOff w14:val="5000"/>
                    </w14:schemeClr>
                  </w14:solidFill>
                </w14:textFill>
              </w:rPr>
            </w:pPr>
            <w:r>
              <w:rPr>
                <w:rFonts w:hint="eastAsia" w:ascii="仿宋" w:hAnsi="仿宋" w:eastAsia="仿宋"/>
                <w:color w:val="0D0D0D" w:themeColor="text1" w:themeTint="F2"/>
                <w:sz w:val="20"/>
                <w:szCs w:val="20"/>
                <w14:textFill>
                  <w14:solidFill>
                    <w14:schemeClr w14:val="tx1">
                      <w14:lumMod w14:val="95000"/>
                      <w14:lumOff w14:val="5000"/>
                    </w14:schemeClr>
                  </w14:solidFill>
                </w14:textFill>
              </w:rPr>
              <w:t xml:space="preserve">30,886.00 </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4" w:name="_Toc533491204"/>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（三）招生情况</w:t>
      </w:r>
      <w:bookmarkEnd w:id="4"/>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学院2018年招生第一志愿报考数远远超过计划录取人数，录取分数稳居省内高职学院前列。详细数据见表2.3。</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表2.3　招生情况</w:t>
      </w:r>
    </w:p>
    <w:tbl>
      <w:tblPr>
        <w:tblStyle w:val="19"/>
        <w:tblW w:w="8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706"/>
        <w:gridCol w:w="1706"/>
        <w:gridCol w:w="1941"/>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69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计划招生数（人）</w:t>
            </w:r>
          </w:p>
        </w:tc>
        <w:tc>
          <w:tcPr>
            <w:tcW w:w="17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实际录取数（人）</w:t>
            </w:r>
          </w:p>
        </w:tc>
        <w:tc>
          <w:tcPr>
            <w:tcW w:w="17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实际录取率（%）</w:t>
            </w:r>
          </w:p>
        </w:tc>
        <w:tc>
          <w:tcPr>
            <w:tcW w:w="194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实际报到人数（人）</w:t>
            </w:r>
          </w:p>
        </w:tc>
        <w:tc>
          <w:tcPr>
            <w:tcW w:w="174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新生报到率（%）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69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s="宋体"/>
                <w:color w:val="0D0D0D" w:themeColor="text1" w:themeTint="F2"/>
                <w:szCs w:val="21"/>
                <w14:textFill>
                  <w14:solidFill>
                    <w14:schemeClr w14:val="tx1">
                      <w14:lumMod w14:val="95000"/>
                      <w14:lumOff w14:val="5000"/>
                    </w14:schemeClr>
                  </w14:solidFill>
                </w14:textFill>
              </w:rPr>
              <w:t>2</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ascii="仿宋" w:hAnsi="仿宋" w:eastAsia="仿宋" w:cs="宋体"/>
                <w:color w:val="0D0D0D" w:themeColor="text1" w:themeTint="F2"/>
                <w:szCs w:val="21"/>
                <w14:textFill>
                  <w14:solidFill>
                    <w14:schemeClr w14:val="tx1">
                      <w14:lumMod w14:val="95000"/>
                      <w14:lumOff w14:val="5000"/>
                    </w14:schemeClr>
                  </w14:solidFill>
                </w14:textFill>
              </w:rPr>
              <w:t>560</w:t>
            </w:r>
          </w:p>
        </w:tc>
        <w:tc>
          <w:tcPr>
            <w:tcW w:w="17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2,617</w:t>
            </w:r>
          </w:p>
        </w:tc>
        <w:tc>
          <w:tcPr>
            <w:tcW w:w="1706"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100%</w:t>
            </w:r>
          </w:p>
        </w:tc>
        <w:tc>
          <w:tcPr>
            <w:tcW w:w="194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s="宋体"/>
                <w:color w:val="0D0D0D" w:themeColor="text1" w:themeTint="F2"/>
                <w:szCs w:val="21"/>
                <w14:textFill>
                  <w14:solidFill>
                    <w14:schemeClr w14:val="tx1">
                      <w14:lumMod w14:val="95000"/>
                      <w14:lumOff w14:val="5000"/>
                    </w14:schemeClr>
                  </w14:solidFill>
                </w14:textFill>
              </w:rPr>
              <w:t>2</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ascii="仿宋" w:hAnsi="仿宋" w:eastAsia="仿宋" w:cs="宋体"/>
                <w:color w:val="0D0D0D" w:themeColor="text1" w:themeTint="F2"/>
                <w:szCs w:val="21"/>
                <w14:textFill>
                  <w14:solidFill>
                    <w14:schemeClr w14:val="tx1">
                      <w14:lumMod w14:val="95000"/>
                      <w14:lumOff w14:val="5000"/>
                    </w14:schemeClr>
                  </w14:solidFill>
                </w14:textFill>
              </w:rPr>
              <w:t>3</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63</w:t>
            </w:r>
          </w:p>
        </w:tc>
        <w:tc>
          <w:tcPr>
            <w:tcW w:w="174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s="宋体"/>
                <w:color w:val="0D0D0D" w:themeColor="text1" w:themeTint="F2"/>
                <w:szCs w:val="21"/>
                <w14:textFill>
                  <w14:solidFill>
                    <w14:schemeClr w14:val="tx1">
                      <w14:lumMod w14:val="95000"/>
                      <w14:lumOff w14:val="5000"/>
                    </w14:schemeClr>
                  </w14:solidFill>
                </w14:textFill>
              </w:rPr>
              <w:t>90.</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29</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5" w:name="_Toc533491205"/>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（四）学生就业情况</w:t>
      </w:r>
      <w:bookmarkEnd w:id="5"/>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学院就业率在本年度9月1日达到98.94%，仍然稳居四川省高职院校第一梯队，就业质量较去年有明显提升。详细数据见表2.4。</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表2.4　学生就业情况</w:t>
      </w: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449"/>
        <w:gridCol w:w="1391"/>
        <w:gridCol w:w="1450"/>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290" w:type="dxa"/>
            <w:gridSpan w:val="3"/>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应届毕业生</w:t>
            </w:r>
          </w:p>
        </w:tc>
        <w:tc>
          <w:tcPr>
            <w:tcW w:w="4232" w:type="dxa"/>
            <w:gridSpan w:val="3"/>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上届毕业生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45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毕业生数（人）</w:t>
            </w:r>
          </w:p>
        </w:tc>
        <w:tc>
          <w:tcPr>
            <w:tcW w:w="144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9月1日就业数（人）</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9月1日就业率（%）</w:t>
            </w:r>
          </w:p>
        </w:tc>
        <w:tc>
          <w:tcPr>
            <w:tcW w:w="145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毕业生数（人）</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12月31日就业数(人)</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12月31日就业率（%）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45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hint="eastAsia" w:ascii="仿宋" w:hAnsi="仿宋" w:eastAsia="仿宋"/>
                <w:color w:val="0D0D0D" w:themeColor="text1" w:themeTint="F2"/>
                <w:szCs w:val="21"/>
                <w14:textFill>
                  <w14:solidFill>
                    <w14:schemeClr w14:val="tx1">
                      <w14:lumMod w14:val="95000"/>
                      <w14:lumOff w14:val="5000"/>
                    </w14:schemeClr>
                  </w14:solidFill>
                </w14:textFill>
              </w:rPr>
              <w:t>982</w:t>
            </w:r>
          </w:p>
        </w:tc>
        <w:tc>
          <w:tcPr>
            <w:tcW w:w="144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hint="eastAsia" w:ascii="仿宋" w:hAnsi="仿宋" w:eastAsia="仿宋"/>
                <w:color w:val="0D0D0D" w:themeColor="text1" w:themeTint="F2"/>
                <w:szCs w:val="21"/>
                <w14:textFill>
                  <w14:solidFill>
                    <w14:schemeClr w14:val="tx1">
                      <w14:lumMod w14:val="95000"/>
                      <w14:lumOff w14:val="5000"/>
                    </w14:schemeClr>
                  </w14:solidFill>
                </w14:textFill>
              </w:rPr>
              <w:t>961</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98.94</w:t>
            </w:r>
          </w:p>
        </w:tc>
        <w:tc>
          <w:tcPr>
            <w:tcW w:w="145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2</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hint="eastAsia" w:ascii="仿宋" w:hAnsi="仿宋" w:eastAsia="仿宋"/>
                <w:color w:val="0D0D0D" w:themeColor="text1" w:themeTint="F2"/>
                <w:szCs w:val="21"/>
                <w14:textFill>
                  <w14:solidFill>
                    <w14:schemeClr w14:val="tx1">
                      <w14:lumMod w14:val="95000"/>
                      <w14:lumOff w14:val="5000"/>
                    </w14:schemeClr>
                  </w14:solidFill>
                </w14:textFill>
              </w:rPr>
              <w:t>035</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2,022</w:t>
            </w:r>
          </w:p>
        </w:tc>
        <w:tc>
          <w:tcPr>
            <w:tcW w:w="139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99.36</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6" w:name="_Toc533491206"/>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（五）信息化建设情况</w:t>
      </w:r>
      <w:bookmarkEnd w:id="6"/>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重视信息化技术在教育教学管理中的应用，已经实现无线网络全覆盖。积极推进混合式教学模式改革，加大在线开放课程建设，拓展教学时空，增强教学吸引力，激发学习者的学习积极性和自主性。上网课程85门，初步形成“人人在学、处处能学、时时可学”的格局。详细数据见表2.5。</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表2.5　信息化建设情况</w:t>
      </w:r>
    </w:p>
    <w:tbl>
      <w:tblPr>
        <w:tblStyle w:val="19"/>
        <w:tblW w:w="89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63"/>
        <w:gridCol w:w="1040"/>
        <w:gridCol w:w="1339"/>
        <w:gridCol w:w="1085"/>
        <w:gridCol w:w="951"/>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61"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出口总带宽（Mbps）</w:t>
            </w:r>
          </w:p>
        </w:tc>
        <w:tc>
          <w:tcPr>
            <w:tcW w:w="1063"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校园网主干最大带宽（Mbps）</w:t>
            </w:r>
          </w:p>
        </w:tc>
        <w:tc>
          <w:tcPr>
            <w:tcW w:w="1040"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网络信息点数（个）</w:t>
            </w:r>
          </w:p>
        </w:tc>
        <w:tc>
          <w:tcPr>
            <w:tcW w:w="1339"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管理信息系统数据总量（GB）</w:t>
            </w:r>
          </w:p>
        </w:tc>
        <w:tc>
          <w:tcPr>
            <w:tcW w:w="1085" w:type="dxa"/>
            <w:vMerge w:val="restart"/>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上网课程数（门）</w:t>
            </w:r>
          </w:p>
        </w:tc>
        <w:tc>
          <w:tcPr>
            <w:tcW w:w="3323" w:type="dxa"/>
            <w:gridSpan w:val="2"/>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数字资源量(GB)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061"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063"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040"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339"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085" w:type="dxa"/>
            <w:vMerge w:val="continue"/>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95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合计</w:t>
            </w:r>
          </w:p>
        </w:tc>
        <w:tc>
          <w:tcPr>
            <w:tcW w:w="2372"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其中:电子图书（册）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061"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6</w:t>
            </w:r>
            <w:r>
              <w:rPr>
                <w:rFonts w:ascii="仿宋" w:hAnsi="仿宋" w:eastAsia="仿宋"/>
                <w:color w:val="0D0D0D" w:themeColor="text1" w:themeTint="F2"/>
                <w:szCs w:val="21"/>
                <w14:textFill>
                  <w14:solidFill>
                    <w14:schemeClr w14:val="tx1">
                      <w14:lumMod w14:val="95000"/>
                      <w14:lumOff w14:val="5000"/>
                    </w14:schemeClr>
                  </w14:solidFill>
                </w14:textFill>
              </w:rPr>
              <w:t>,100</w:t>
            </w:r>
          </w:p>
        </w:tc>
        <w:tc>
          <w:tcPr>
            <w:tcW w:w="1063"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10,000</w:t>
            </w:r>
          </w:p>
        </w:tc>
        <w:tc>
          <w:tcPr>
            <w:tcW w:w="1040"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3,</w:t>
            </w:r>
            <w:r>
              <w:rPr>
                <w:rFonts w:hint="eastAsia" w:ascii="仿宋" w:hAnsi="仿宋" w:eastAsia="仿宋"/>
                <w:color w:val="0D0D0D" w:themeColor="text1" w:themeTint="F2"/>
                <w:szCs w:val="21"/>
                <w14:textFill>
                  <w14:solidFill>
                    <w14:schemeClr w14:val="tx1">
                      <w14:lumMod w14:val="95000"/>
                      <w14:lumOff w14:val="5000"/>
                    </w14:schemeClr>
                  </w14:solidFill>
                </w14:textFill>
              </w:rPr>
              <w:t>2</w:t>
            </w:r>
            <w:r>
              <w:rPr>
                <w:rFonts w:ascii="仿宋" w:hAnsi="仿宋" w:eastAsia="仿宋"/>
                <w:color w:val="0D0D0D" w:themeColor="text1" w:themeTint="F2"/>
                <w:szCs w:val="21"/>
                <w14:textFill>
                  <w14:solidFill>
                    <w14:schemeClr w14:val="tx1">
                      <w14:lumMod w14:val="95000"/>
                      <w14:lumOff w14:val="5000"/>
                    </w14:schemeClr>
                  </w14:solidFill>
                </w14:textFill>
              </w:rPr>
              <w:t>00</w:t>
            </w:r>
          </w:p>
        </w:tc>
        <w:tc>
          <w:tcPr>
            <w:tcW w:w="1339"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80</w:t>
            </w:r>
          </w:p>
        </w:tc>
        <w:tc>
          <w:tcPr>
            <w:tcW w:w="1085" w:type="dxa"/>
            <w:shd w:val="clear" w:color="auto" w:fill="auto"/>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85</w:t>
            </w:r>
          </w:p>
        </w:tc>
        <w:tc>
          <w:tcPr>
            <w:tcW w:w="951"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105,875 </w:t>
            </w:r>
          </w:p>
        </w:tc>
        <w:tc>
          <w:tcPr>
            <w:tcW w:w="2372" w:type="dxa"/>
            <w:shd w:val="clear" w:color="auto" w:fill="auto"/>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286,868 </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7" w:name="_Toc533491207"/>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（六）校内实践基地</w:t>
      </w:r>
      <w:bookmarkEnd w:id="7"/>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学院重视实习实训基地建设，不断优化完善“T”型专业实践教学体系。详细数据见表2.6。</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表2.6　校内实践基地</w:t>
      </w:r>
    </w:p>
    <w:tbl>
      <w:tblPr>
        <w:tblStyle w:val="19"/>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1417"/>
        <w:gridCol w:w="1153"/>
        <w:gridCol w:w="974"/>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0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实训基地数（个）</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工位数(个)</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建筑面积</w:t>
            </w:r>
            <w:r>
              <w:rPr>
                <w:rFonts w:hint="eastAsia" w:ascii="仿宋" w:hAnsi="仿宋" w:eastAsia="仿宋"/>
                <w:color w:val="0D0D0D" w:themeColor="text1" w:themeTint="F2"/>
                <w:szCs w:val="21"/>
                <w14:textFill>
                  <w14:solidFill>
                    <w14:schemeClr w14:val="tx1">
                      <w14:lumMod w14:val="95000"/>
                      <w14:lumOff w14:val="5000"/>
                    </w14:schemeClr>
                  </w14:solidFill>
                </w14:textFill>
              </w:rPr>
              <w:br w:type="textWrapping"/>
            </w:r>
            <w:r>
              <w:rPr>
                <w:rFonts w:hint="eastAsia" w:ascii="仿宋" w:hAnsi="仿宋" w:eastAsia="仿宋"/>
                <w:color w:val="0D0D0D" w:themeColor="text1" w:themeTint="F2"/>
                <w:szCs w:val="21"/>
                <w14:textFill>
                  <w14:solidFill>
                    <w14:schemeClr w14:val="tx1">
                      <w14:lumMod w14:val="95000"/>
                      <w14:lumOff w14:val="5000"/>
                    </w14:schemeClr>
                  </w14:solidFill>
                </w14:textFill>
              </w:rPr>
              <w:t>（平方米）</w:t>
            </w:r>
          </w:p>
        </w:tc>
        <w:tc>
          <w:tcPr>
            <w:tcW w:w="115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设备值（万元）</w:t>
            </w:r>
          </w:p>
        </w:tc>
        <w:tc>
          <w:tcPr>
            <w:tcW w:w="97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设备数（台套）</w:t>
            </w:r>
          </w:p>
        </w:tc>
        <w:tc>
          <w:tcPr>
            <w:tcW w:w="28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学年使用频率（人时）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1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9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校内</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53</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2,775</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9,503.46</w:t>
            </w:r>
          </w:p>
        </w:tc>
        <w:tc>
          <w:tcPr>
            <w:tcW w:w="115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2,353.46</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3443</w:t>
            </w:r>
          </w:p>
        </w:tc>
        <w:tc>
          <w:tcPr>
            <w:tcW w:w="1559" w:type="dxa"/>
            <w:tcBorders>
              <w:top w:val="single" w:color="auto" w:sz="4" w:space="0"/>
              <w:left w:val="single" w:color="auto" w:sz="4" w:space="0"/>
              <w:bottom w:val="single" w:color="auto" w:sz="4" w:space="0"/>
              <w:right w:val="single" w:color="auto" w:sz="4" w:space="0"/>
            </w:tcBorders>
            <w:vAlign w:val="center"/>
          </w:tcPr>
          <w:p>
            <w:pPr>
              <w:jc w:val="right"/>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2,351,988.00</w:t>
            </w:r>
          </w:p>
        </w:tc>
        <w:tc>
          <w:tcPr>
            <w:tcW w:w="1276" w:type="dxa"/>
            <w:tcBorders>
              <w:top w:val="single" w:color="auto" w:sz="4" w:space="0"/>
              <w:left w:val="single" w:color="auto" w:sz="4" w:space="0"/>
              <w:bottom w:val="single" w:color="auto" w:sz="4" w:space="0"/>
              <w:right w:val="single" w:color="auto" w:sz="4" w:space="0"/>
            </w:tcBorders>
            <w:vAlign w:val="center"/>
          </w:tcPr>
          <w:p>
            <w:pPr>
              <w:jc w:val="right"/>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78,012.00</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8" w:name="_Toc533491208"/>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（七）校外实习实训基地</w:t>
      </w:r>
      <w:bookmarkEnd w:id="8"/>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学院坚持产学融合、校企合作的办学理念，与企业携手共建校外学生顶岗实训基地，保证了学生半年以上时间到企业顶岗实习，提升了学生的职业能力。详细数据见表2.7。</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表2.7　校外实习实训基地</w:t>
      </w:r>
    </w:p>
    <w:tbl>
      <w:tblPr>
        <w:tblStyle w:val="19"/>
        <w:tblW w:w="84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30"/>
        <w:gridCol w:w="1280"/>
        <w:gridCol w:w="1590"/>
        <w:gridCol w:w="201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5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基地</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数</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w:t>
            </w:r>
          </w:p>
        </w:tc>
        <w:tc>
          <w:tcPr>
            <w:tcW w:w="15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接待</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学</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生量</w:t>
            </w:r>
            <w:r>
              <w:rPr>
                <w:rFonts w:hint="eastAsia" w:ascii="仿宋" w:hAnsi="仿宋" w:eastAsia="仿宋"/>
                <w:color w:val="0D0D0D" w:themeColor="text1" w:themeTint="F2"/>
                <w:szCs w:val="21"/>
                <w14:textFill>
                  <w14:solidFill>
                    <w14:schemeClr w14:val="tx1">
                      <w14:lumMod w14:val="95000"/>
                      <w14:lumOff w14:val="5000"/>
                    </w14:schemeClr>
                  </w14:solidFill>
                </w14:textFill>
              </w:rPr>
              <w:br w:type="textWrapping"/>
            </w:r>
            <w:r>
              <w:rPr>
                <w:rFonts w:hint="eastAsia" w:ascii="仿宋" w:hAnsi="仿宋" w:eastAsia="仿宋"/>
                <w:color w:val="0D0D0D" w:themeColor="text1" w:themeTint="F2"/>
                <w:szCs w:val="21"/>
                <w14:textFill>
                  <w14:solidFill>
                    <w14:schemeClr w14:val="tx1">
                      <w14:lumMod w14:val="95000"/>
                      <w14:lumOff w14:val="5000"/>
                    </w14:schemeClr>
                  </w14:solidFill>
                </w14:textFill>
              </w:rPr>
              <w:t>(人次)</w:t>
            </w:r>
          </w:p>
        </w:tc>
        <w:tc>
          <w:tcPr>
            <w:tcW w:w="12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基地使用</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时间</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（天）</w:t>
            </w:r>
          </w:p>
        </w:tc>
        <w:tc>
          <w:tcPr>
            <w:tcW w:w="159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其中接受半年</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顶岗实习学</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生</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数</w:t>
            </w:r>
            <w:r>
              <w:rPr>
                <w:rFonts w:hint="eastAsia" w:ascii="仿宋" w:hAnsi="仿宋" w:eastAsia="仿宋"/>
                <w:color w:val="0D0D0D" w:themeColor="text1" w:themeTint="F2"/>
                <w:szCs w:val="21"/>
                <w14:textFill>
                  <w14:solidFill>
                    <w14:schemeClr w14:val="tx1">
                      <w14:lumMod w14:val="95000"/>
                      <w14:lumOff w14:val="5000"/>
                    </w14:schemeClr>
                  </w14:solidFill>
                </w14:textFill>
              </w:rPr>
              <w:t>(人)</w:t>
            </w:r>
          </w:p>
        </w:tc>
        <w:tc>
          <w:tcPr>
            <w:tcW w:w="20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学</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校派指</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导教师</w:t>
            </w:r>
            <w:r>
              <w:rPr>
                <w:rFonts w:hint="eastAsia" w:ascii="仿宋" w:hAnsi="仿宋" w:eastAsia="仿宋"/>
                <w:color w:val="0D0D0D" w:themeColor="text1" w:themeTint="F2"/>
                <w:szCs w:val="21"/>
                <w14:textFill>
                  <w14:solidFill>
                    <w14:schemeClr w14:val="tx1">
                      <w14:lumMod w14:val="95000"/>
                      <w14:lumOff w14:val="5000"/>
                    </w14:schemeClr>
                  </w14:solidFill>
                </w14:textFill>
              </w:rPr>
              <w:t>/</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学</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生管理人</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员</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（人次）</w:t>
            </w:r>
          </w:p>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接收</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应届毕业</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生就</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业数</w:t>
            </w:r>
            <w:r>
              <w:rPr>
                <w:rFonts w:hint="eastAsia" w:ascii="仿宋" w:hAnsi="仿宋" w:eastAsia="仿宋" w:cs="DotumChe"/>
                <w:color w:val="0D0D0D" w:themeColor="text1" w:themeTint="F2"/>
                <w:szCs w:val="21"/>
                <w14:textFill>
                  <w14:solidFill>
                    <w14:schemeClr w14:val="tx1">
                      <w14:lumMod w14:val="95000"/>
                      <w14:lumOff w14:val="5000"/>
                    </w14:schemeClr>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6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5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2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5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20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157</w:t>
            </w:r>
          </w:p>
        </w:tc>
        <w:tc>
          <w:tcPr>
            <w:tcW w:w="15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shd w:val="clear" w:color="auto" w:fill="F9F9F9"/>
                <w14:textFill>
                  <w14:solidFill>
                    <w14:schemeClr w14:val="tx1">
                      <w14:lumMod w14:val="95000"/>
                      <w14:lumOff w14:val="5000"/>
                    </w14:schemeClr>
                  </w14:solidFill>
                </w14:textFill>
              </w:rPr>
              <w:t>2,486</w:t>
            </w:r>
          </w:p>
        </w:tc>
        <w:tc>
          <w:tcPr>
            <w:tcW w:w="12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shd w:val="clear" w:color="auto" w:fill="F9F9F9"/>
                <w14:textFill>
                  <w14:solidFill>
                    <w14:schemeClr w14:val="tx1">
                      <w14:lumMod w14:val="95000"/>
                      <w14:lumOff w14:val="5000"/>
                    </w14:schemeClr>
                  </w14:solidFill>
                </w14:textFill>
              </w:rPr>
              <w:t>16,706</w:t>
            </w:r>
          </w:p>
        </w:tc>
        <w:tc>
          <w:tcPr>
            <w:tcW w:w="159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907</w:t>
            </w:r>
          </w:p>
        </w:tc>
        <w:tc>
          <w:tcPr>
            <w:tcW w:w="201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shd w:val="clear" w:color="auto" w:fill="F9F9F9"/>
                <w14:textFill>
                  <w14:solidFill>
                    <w14:schemeClr w14:val="tx1">
                      <w14:lumMod w14:val="95000"/>
                      <w14:lumOff w14:val="5000"/>
                    </w14:schemeClr>
                  </w14:solidFill>
                </w14:textFill>
              </w:rPr>
              <w:t>255</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shd w:val="clear" w:color="auto" w:fill="F9F9F9"/>
                <w14:textFill>
                  <w14:solidFill>
                    <w14:schemeClr w14:val="tx1">
                      <w14:lumMod w14:val="95000"/>
                      <w14:lumOff w14:val="5000"/>
                    </w14:schemeClr>
                  </w14:solidFill>
                </w14:textFill>
              </w:rPr>
              <w:t>520</w:t>
            </w:r>
          </w:p>
        </w:tc>
      </w:tr>
    </w:tbl>
    <w:p>
      <w:pPr>
        <w:pStyle w:val="3"/>
        <w:spacing w:before="0" w:after="0" w:line="360" w:lineRule="auto"/>
        <w:rPr>
          <w:rFonts w:ascii="仿宋" w:hAnsi="仿宋" w:eastAsia="仿宋"/>
          <w:color w:val="0D0D0D" w:themeColor="text1" w:themeTint="F2"/>
          <w14:textFill>
            <w14:solidFill>
              <w14:schemeClr w14:val="tx1">
                <w14:lumMod w14:val="95000"/>
                <w14:lumOff w14:val="5000"/>
              </w14:schemeClr>
            </w14:solidFill>
          </w14:textFill>
        </w:rPr>
      </w:pPr>
      <w:bookmarkStart w:id="9" w:name="_Toc533491209"/>
      <w:r>
        <w:rPr>
          <w:rFonts w:hint="eastAsia" w:ascii="仿宋" w:hAnsi="仿宋" w:eastAsia="仿宋"/>
          <w:color w:val="0D0D0D" w:themeColor="text1" w:themeTint="F2"/>
          <w14:textFill>
            <w14:solidFill>
              <w14:schemeClr w14:val="tx1">
                <w14:lumMod w14:val="95000"/>
                <w14:lumOff w14:val="5000"/>
              </w14:schemeClr>
            </w14:solidFill>
          </w14:textFill>
        </w:rPr>
        <w:t>（八）教职工情况</w:t>
      </w:r>
      <w:bookmarkEnd w:id="9"/>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学院现有教职工452人。其中，专任教师324人，生师比为15.68。详细数据见表2.8。</w:t>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表2.8　教职工情况</w:t>
      </w:r>
    </w:p>
    <w:tbl>
      <w:tblPr>
        <w:tblStyle w:val="19"/>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276"/>
        <w:gridCol w:w="1134"/>
        <w:gridCol w:w="1134"/>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教职工数</w:t>
            </w:r>
          </w:p>
        </w:tc>
        <w:tc>
          <w:tcPr>
            <w:tcW w:w="46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其中：校本部人员</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校办企业职工</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附设机构人员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专任教师</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行政人员</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教辅人员</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工勤人员</w:t>
            </w: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452</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324</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90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28</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3</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18</w:t>
            </w:r>
          </w:p>
        </w:tc>
      </w:tr>
    </w:tbl>
    <w:p>
      <w:pPr>
        <w:pStyle w:val="3"/>
        <w:spacing w:before="0" w:after="0" w:line="360" w:lineRule="auto"/>
        <w:rPr>
          <w:rFonts w:ascii="仿宋" w:hAnsi="仿宋" w:eastAsia="仿宋"/>
          <w:color w:val="0D0D0D" w:themeColor="text1" w:themeTint="F2"/>
          <w14:textFill>
            <w14:solidFill>
              <w14:schemeClr w14:val="tx1">
                <w14:lumMod w14:val="95000"/>
                <w14:lumOff w14:val="5000"/>
              </w14:schemeClr>
            </w14:solidFill>
          </w14:textFill>
        </w:rPr>
      </w:pPr>
      <w:bookmarkStart w:id="10" w:name="_Toc533491210"/>
      <w:r>
        <w:rPr>
          <w:rFonts w:hint="eastAsia" w:ascii="仿宋" w:hAnsi="仿宋" w:eastAsia="仿宋"/>
          <w:color w:val="0D0D0D" w:themeColor="text1" w:themeTint="F2"/>
          <w14:textFill>
            <w14:solidFill>
              <w14:schemeClr w14:val="tx1">
                <w14:lumMod w14:val="95000"/>
                <w14:lumOff w14:val="5000"/>
              </w14:schemeClr>
            </w14:solidFill>
          </w14:textFill>
        </w:rPr>
        <w:t>（九）专任教师结构</w:t>
      </w:r>
      <w:bookmarkEnd w:id="10"/>
    </w:p>
    <w:p>
      <w:pPr>
        <w:spacing w:line="360" w:lineRule="auto"/>
        <w:ind w:firstLine="480" w:firstLineChars="200"/>
        <w:rPr>
          <w:rFonts w:ascii="仿宋" w:hAnsi="仿宋" w:eastAsia="仿宋"/>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color w:val="0D0D0D" w:themeColor="text1" w:themeTint="F2"/>
          <w:kern w:val="0"/>
          <w:sz w:val="24"/>
          <w14:textFill>
            <w14:solidFill>
              <w14:schemeClr w14:val="tx1">
                <w14:lumMod w14:val="95000"/>
                <w14:lumOff w14:val="5000"/>
              </w14:schemeClr>
            </w14:solidFill>
          </w14:textFill>
        </w:rPr>
        <w:t>学院专任教师中硕士以上学历比例达63.27％；高级职称占比21.60％，35岁以下青年教师占35.80％。详细数据见表2.9。</w:t>
      </w:r>
    </w:p>
    <w:p>
      <w:pPr>
        <w:spacing w:line="360" w:lineRule="auto"/>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表2.9　专任教师结构</w:t>
      </w:r>
    </w:p>
    <w:tbl>
      <w:tblPr>
        <w:tblStyle w:val="19"/>
        <w:tblW w:w="89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67"/>
        <w:gridCol w:w="567"/>
        <w:gridCol w:w="567"/>
        <w:gridCol w:w="567"/>
        <w:gridCol w:w="567"/>
        <w:gridCol w:w="567"/>
        <w:gridCol w:w="567"/>
        <w:gridCol w:w="709"/>
        <w:gridCol w:w="709"/>
        <w:gridCol w:w="708"/>
        <w:gridCol w:w="709"/>
        <w:gridCol w:w="735"/>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专任教师数</w:t>
            </w: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学历情况</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职称情况</w:t>
            </w:r>
          </w:p>
        </w:tc>
        <w:tc>
          <w:tcPr>
            <w:tcW w:w="360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年龄情况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D0D0D" w:themeColor="text1" w:themeTint="F2"/>
                <w:szCs w:val="21"/>
                <w14:textFill>
                  <w14:solidFill>
                    <w14:schemeClr w14:val="tx1">
                      <w14:lumMod w14:val="95000"/>
                      <w14:lumOff w14:val="5000"/>
                    </w14:schemeClr>
                  </w14:solidFill>
                </w14:textFill>
              </w:rPr>
            </w:pP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博士</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硕士</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本科</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专科</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高级</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中级</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初级</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未定级</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35岁以下</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35至45岁</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45至55岁</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55至60岁</w:t>
            </w:r>
          </w:p>
        </w:tc>
        <w:tc>
          <w:tcPr>
            <w:tcW w:w="74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60岁以上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324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201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136</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70</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ascii="仿宋" w:hAnsi="仿宋" w:eastAsia="仿宋"/>
                <w:color w:val="0D0D0D" w:themeColor="text1" w:themeTint="F2"/>
                <w:szCs w:val="21"/>
                <w14:textFill>
                  <w14:solidFill>
                    <w14:schemeClr w14:val="tx1">
                      <w14:lumMod w14:val="95000"/>
                      <w14:lumOff w14:val="5000"/>
                    </w14:schemeClr>
                  </w14:solidFill>
                </w14:textFill>
              </w:rPr>
              <w:t>137</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41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76</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116</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138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61</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12</w:t>
            </w:r>
          </w:p>
        </w:tc>
        <w:tc>
          <w:tcPr>
            <w:tcW w:w="74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0</w:t>
            </w:r>
          </w:p>
        </w:tc>
      </w:tr>
    </w:tbl>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11" w:name="_Toc533491211"/>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三、学生发展</w:t>
      </w:r>
      <w:bookmarkEnd w:id="11"/>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2" w:name="_Toc533491212"/>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（一）个性发展与全面成长</w:t>
      </w:r>
      <w:bookmarkEnd w:id="12"/>
    </w:p>
    <w:p>
      <w:pPr>
        <w:spacing w:line="360" w:lineRule="auto"/>
        <w:ind w:firstLine="479" w:firstLineChars="199"/>
        <w:rPr>
          <w:rFonts w:ascii="仿宋" w:hAnsi="仿宋" w:eastAsia="仿宋"/>
          <w:b/>
          <w:color w:val="0D0D0D" w:themeColor="text1" w:themeTint="F2"/>
          <w:kern w:val="0"/>
          <w:sz w:val="24"/>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4"/>
          <w14:textFill>
            <w14:solidFill>
              <w14:schemeClr w14:val="tx1">
                <w14:lumMod w14:val="95000"/>
                <w14:lumOff w14:val="5000"/>
              </w14:schemeClr>
            </w14:solidFill>
          </w14:textFill>
        </w:rPr>
        <w:t>1.</w:t>
      </w:r>
      <w:r>
        <w:rPr>
          <w:rFonts w:hint="eastAsia" w:ascii="仿宋" w:hAnsi="仿宋" w:eastAsia="仿宋" w:cs="黑体"/>
          <w:b/>
          <w:color w:val="0D0D0D" w:themeColor="text1" w:themeTint="F2"/>
          <w:sz w:val="24"/>
          <w14:textFill>
            <w14:solidFill>
              <w14:schemeClr w14:val="tx1">
                <w14:lumMod w14:val="95000"/>
                <w14:lumOff w14:val="5000"/>
              </w14:schemeClr>
            </w14:solidFill>
          </w14:textFill>
        </w:rPr>
        <w:t>“大思政”育人体制日益完善</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按照教育部“十育人体系”建设实施意见，在总结我院学工联席会议、干部联系班级、院领导接待日的基础上，成立了马克思主义学院，将主流意识形态教育融入学院思政宣传、校园文化、学生党建、共青团工作于一体，协同育人，进一步巩固和加强我院“一体化”育人模式，真正建立起“要素齐全、思路清晰、运行有序、保障得力”的“大思政”格局，促进我院大学生思想政治教育工作的质量提升。</w:t>
      </w:r>
    </w:p>
    <w:p>
      <w:pPr>
        <w:spacing w:line="360" w:lineRule="auto"/>
        <w:ind w:firstLine="480"/>
        <w:jc w:val="center"/>
        <w:rPr>
          <w:rFonts w:ascii="仿宋" w:hAnsi="仿宋" w:eastAsia="仿宋" w:cs="黑体"/>
          <w:b/>
          <w:bCs/>
          <w:color w:val="0D0D0D" w:themeColor="text1" w:themeTint="F2"/>
          <w:szCs w:val="21"/>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Cs w:val="21"/>
          <w14:textFill>
            <w14:solidFill>
              <w14:schemeClr w14:val="tx1">
                <w14:lumMod w14:val="95000"/>
                <w14:lumOff w14:val="5000"/>
              </w14:schemeClr>
            </w14:solidFill>
          </w14:textFill>
        </w:rPr>
        <w:t>表3.1  本校2017-2018年干部联系班级落实情况</w:t>
      </w:r>
    </w:p>
    <w:tbl>
      <w:tblPr>
        <w:tblStyle w:val="19"/>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660"/>
        <w:gridCol w:w="2018"/>
        <w:gridCol w:w="1405"/>
        <w:gridCol w:w="139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年份</w:t>
            </w:r>
          </w:p>
        </w:tc>
        <w:tc>
          <w:tcPr>
            <w:tcW w:w="166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院领导参与数</w:t>
            </w:r>
          </w:p>
        </w:tc>
        <w:tc>
          <w:tcPr>
            <w:tcW w:w="201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中层干部参与数</w:t>
            </w:r>
          </w:p>
        </w:tc>
        <w:tc>
          <w:tcPr>
            <w:tcW w:w="140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联系班级数</w:t>
            </w:r>
          </w:p>
        </w:tc>
        <w:tc>
          <w:tcPr>
            <w:tcW w:w="13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受益学生数</w:t>
            </w:r>
          </w:p>
        </w:tc>
        <w:tc>
          <w:tcPr>
            <w:tcW w:w="125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学生反馈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2017</w:t>
            </w:r>
          </w:p>
        </w:tc>
        <w:tc>
          <w:tcPr>
            <w:tcW w:w="166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w:t>
            </w:r>
          </w:p>
        </w:tc>
        <w:tc>
          <w:tcPr>
            <w:tcW w:w="201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40</w:t>
            </w:r>
          </w:p>
        </w:tc>
        <w:tc>
          <w:tcPr>
            <w:tcW w:w="140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44</w:t>
            </w:r>
          </w:p>
        </w:tc>
        <w:tc>
          <w:tcPr>
            <w:tcW w:w="13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2101</w:t>
            </w:r>
          </w:p>
        </w:tc>
        <w:tc>
          <w:tcPr>
            <w:tcW w:w="125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2018</w:t>
            </w:r>
          </w:p>
        </w:tc>
        <w:tc>
          <w:tcPr>
            <w:tcW w:w="166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w:t>
            </w:r>
          </w:p>
        </w:tc>
        <w:tc>
          <w:tcPr>
            <w:tcW w:w="201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42</w:t>
            </w:r>
          </w:p>
        </w:tc>
        <w:tc>
          <w:tcPr>
            <w:tcW w:w="140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46</w:t>
            </w:r>
          </w:p>
        </w:tc>
        <w:tc>
          <w:tcPr>
            <w:tcW w:w="13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2360</w:t>
            </w:r>
          </w:p>
        </w:tc>
        <w:tc>
          <w:tcPr>
            <w:tcW w:w="125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良好</w:t>
            </w:r>
          </w:p>
        </w:tc>
      </w:tr>
    </w:tbl>
    <w:p>
      <w:pPr>
        <w:spacing w:line="360" w:lineRule="auto"/>
        <w:jc w:val="left"/>
        <w:rPr>
          <w:rFonts w:ascii="仿宋" w:hAnsi="仿宋" w:eastAsia="仿宋" w:cs="宋体"/>
          <w:b/>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数据来源：四川财经职业学院学生工作部、组织人事处统计</w:t>
      </w:r>
    </w:p>
    <w:p>
      <w:pPr>
        <w:spacing w:line="360" w:lineRule="auto"/>
        <w:ind w:firstLine="482" w:firstLineChars="200"/>
        <w:rPr>
          <w:rFonts w:ascii="仿宋" w:hAnsi="仿宋" w:eastAsia="仿宋" w:cs="黑体"/>
          <w:b/>
          <w:color w:val="0D0D0D" w:themeColor="text1" w:themeTint="F2"/>
          <w:sz w:val="24"/>
          <w14:textFill>
            <w14:solidFill>
              <w14:schemeClr w14:val="tx1">
                <w14:lumMod w14:val="95000"/>
                <w14:lumOff w14:val="5000"/>
              </w14:schemeClr>
            </w14:solidFill>
          </w14:textFill>
        </w:rPr>
      </w:pPr>
      <w:r>
        <w:rPr>
          <w:rFonts w:hint="eastAsia" w:ascii="仿宋" w:hAnsi="仿宋" w:eastAsia="仿宋" w:cs="黑体"/>
          <w:b/>
          <w:color w:val="0D0D0D" w:themeColor="text1" w:themeTint="F2"/>
          <w:sz w:val="24"/>
          <w14:textFill>
            <w14:solidFill>
              <w14:schemeClr w14:val="tx1">
                <w14:lumMod w14:val="95000"/>
                <w14:lumOff w14:val="5000"/>
              </w14:schemeClr>
            </w14:solidFill>
          </w14:textFill>
        </w:rPr>
        <w:t>2.学生思想道德素养不断提升</w:t>
      </w:r>
    </w:p>
    <w:p>
      <w:pPr>
        <w:spacing w:line="360" w:lineRule="auto"/>
        <w:ind w:firstLine="48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（1）创新载体：“四堂一室”落地生根</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 xml:space="preserve">为进一步落细、落小、落实大学生思想政治教育我院在“财苑讲堂”的基础上，新设“信仰讲堂”“道德讲堂”“人文讲堂”。讲堂以社会主义核心价值观为主线，紧紧围绕“理想信念、文明诚信、感恩责任、法纪安全、人文素质、科学精神”等主题，推进讲堂按时按质如期开展，让学生在聆听讲座之中，凝练思想，升华品质。同时，成立“张导说事”辅导员工作室，切实解决学生思想政治教育中的困惑与迷茫，帮助学生提高认识，助力成长。“四堂一室”系列活动借助我院的易班平台，实现线上线下的大面积覆盖。我院打造的“易”起听讲座荣获2018年四川省教育厅易班特色活动奖。通过一系列活动的开展，学生总体呈现“积极向上、追求进步、奋发有为”的精神状态。      </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（2）思政育人：强化意识形态教育</w:t>
      </w:r>
    </w:p>
    <w:p>
      <w:pPr>
        <w:spacing w:line="360" w:lineRule="auto"/>
        <w:ind w:firstLine="600" w:firstLineChars="25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①成立马克思主义学院，巩固和强化学生主流意识形态教育工作。为进一步加强大学生思想理论教育，深化思想政治理论课教学改革，2018年5月学院将原二级教学单位“思想政治理论课教学部”更名为“马克思主义学院”， 进一步强化了马克思主义特别是当代中国马克思主义教育教学和研究宣传这一重要职能。成立青年求实学社（马院指导）、青年研习社（学工部指导），广泛开展习近平新时代中国特色社会主义思想、中国梦、社会主义核心价值观、以及党的最新理论学习宣讲。</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②严格推行主题班会制度，广泛开展社会主义核心价值观、中国梦系列主题教育活动。充分发挥专职辅导员集体智慧的理念，推行主题思政教育集体备课制，创新主题教育实施模式，提高主题思政教育的质量。2018年共推荐主题18个，必做主题8个，涵盖理想信念、诚实守信、责任奉献、心理健康、生涯规划、学风建设、纪律法制等。</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③开展网络思政教育，打造网络红色阵地。我院学生思政教育主动适应“互联网+” 的发展趋势，设立“学工在线”“川财易班”“青春川财”和“四川辅导员之家”等微信公众平台和学生班级 QQ 群，实时了解学生的思想困惑并及时答疑，不断增强网络思政的亲和力和感召力，产生了良好的教育效果。</w:t>
      </w:r>
    </w:p>
    <w:tbl>
      <w:tblPr>
        <w:tblStyle w:val="19"/>
        <w:tblpPr w:leftFromText="180" w:rightFromText="180" w:vertAnchor="text" w:horzAnchor="margin" w:tblpXSpec="center" w:tblpY="585"/>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
        <w:gridCol w:w="695"/>
        <w:gridCol w:w="3521"/>
        <w:gridCol w:w="283"/>
        <w:gridCol w:w="709"/>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黑体"/>
                <w:b/>
                <w:bCs/>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 w:val="16"/>
                <w:szCs w:val="16"/>
                <w14:textFill>
                  <w14:solidFill>
                    <w14:schemeClr w14:val="tx1">
                      <w14:lumMod w14:val="95000"/>
                      <w14:lumOff w14:val="5000"/>
                    </w14:schemeClr>
                  </w14:solidFill>
                </w14:textFill>
              </w:rPr>
              <w:t>周次</w:t>
            </w:r>
          </w:p>
        </w:tc>
        <w:tc>
          <w:tcPr>
            <w:tcW w:w="352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黑体"/>
                <w:b/>
                <w:bCs/>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 w:val="16"/>
                <w:szCs w:val="16"/>
                <w14:textFill>
                  <w14:solidFill>
                    <w14:schemeClr w14:val="tx1">
                      <w14:lumMod w14:val="95000"/>
                      <w14:lumOff w14:val="5000"/>
                    </w14:schemeClr>
                  </w14:solidFill>
                </w14:textFill>
              </w:rPr>
              <w:t>主题</w:t>
            </w:r>
          </w:p>
        </w:tc>
        <w:tc>
          <w:tcPr>
            <w:tcW w:w="283"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黑体"/>
                <w:b/>
                <w:bCs/>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黑体"/>
                <w:b/>
                <w:bCs/>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 w:val="16"/>
                <w:szCs w:val="16"/>
                <w14:textFill>
                  <w14:solidFill>
                    <w14:schemeClr w14:val="tx1">
                      <w14:lumMod w14:val="95000"/>
                      <w14:lumOff w14:val="5000"/>
                    </w14:schemeClr>
                  </w14:solidFill>
                </w14:textFill>
              </w:rPr>
              <w:t>周次</w:t>
            </w:r>
          </w:p>
        </w:tc>
        <w:tc>
          <w:tcPr>
            <w:tcW w:w="3827"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黑体"/>
                <w:b/>
                <w:bCs/>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 w:val="16"/>
                <w:szCs w:val="16"/>
                <w14:textFill>
                  <w14:solidFill>
                    <w14:schemeClr w14:val="tx1">
                      <w14:lumMod w14:val="95000"/>
                      <w14:lumOff w14:val="5000"/>
                    </w14:schemeClr>
                  </w14:solidFill>
                </w14:textFill>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秋季学期</w:t>
            </w: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1-2</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大一：新生入学教育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大二、大三：安全教育</w:t>
            </w:r>
          </w:p>
        </w:tc>
        <w:tc>
          <w:tcPr>
            <w:tcW w:w="283"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春季学期</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1-2</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安全教育：非法校园贷、兼职陷阱、传销、诈骗等的识别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1" w:hRule="atLeast"/>
        </w:trPr>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3-4</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大一：大学，你好——校规班规教育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大二：让守纪成为习惯——九月纪律与法治教育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大三：自信与择业就业——理性就业、科学择业教育</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3-4</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关注两会·聚焦时事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5-6</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时事动态：“党的十九大热点跟踪”</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5-6</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话清明—感受中国传统节日文化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7-8</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必做主题：爱国主义教育</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7-8</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“4·15国家安全日”宣讲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感动财院人物评选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trPr>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9-10</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必做主题：党的十九大精神宣讲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推荐主题：</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大一：珍惜时间 把握今天——如何科学有效的进行时间管理；</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大二：当爱在靠近——恋爱心理及爱的能力培养；</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大三：就业你准备好了吗?——就业中的面试技巧</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9-10</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“易”起来话“工匠精神”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11-12</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必做主题：坚定信念·永跟党走——党的十九大精神学习</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推荐主题：心存感恩·学会做人——感恩教育</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11-12</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“与信仰对话”读书班——关于习近平总书记在北大五四讲话和马克思诞辰200周年纪念大会上的讲话精神学习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13-14</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必做主题：携手抗艾 重在预防——防艾教育</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推荐主题：“德耀中华圆梦中国——第六届全国道德模范授奖仪式”观看心得</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13-14</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心得畅谈：习近平总书记在纪念马克思诞辰200周年大会上重要讲话精神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15-16</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法制教育：“知法守法，与法同行”</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15-16</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珍爱生命、拒绝毒品——6.26国际禁毒日宣传教育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69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17-18</w:t>
            </w:r>
          </w:p>
        </w:tc>
        <w:tc>
          <w:tcPr>
            <w:tcW w:w="352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诚信教育：诚信迎考，做品德优秀的大学生</w:t>
            </w:r>
          </w:p>
        </w:tc>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17-18</w:t>
            </w:r>
          </w:p>
        </w:tc>
        <w:tc>
          <w:tcPr>
            <w:tcW w:w="3827"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大一、大二：认真复习·诚信应考</w:t>
            </w:r>
          </w:p>
          <w:p>
            <w:pPr>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大三：感恩母校·文明离校</w:t>
            </w:r>
          </w:p>
        </w:tc>
      </w:tr>
    </w:tbl>
    <w:p>
      <w:pPr>
        <w:spacing w:line="360" w:lineRule="auto"/>
        <w:jc w:val="center"/>
        <w:rPr>
          <w:rFonts w:ascii="仿宋" w:hAnsi="仿宋" w:eastAsia="仿宋" w:cs="黑体"/>
          <w:b/>
          <w:bCs/>
          <w:color w:val="0D0D0D" w:themeColor="text1" w:themeTint="F2"/>
          <w:szCs w:val="21"/>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Cs w:val="21"/>
          <w14:textFill>
            <w14:solidFill>
              <w14:schemeClr w14:val="tx1">
                <w14:lumMod w14:val="95000"/>
                <w14:lumOff w14:val="5000"/>
              </w14:schemeClr>
            </w14:solidFill>
          </w14:textFill>
        </w:rPr>
        <w:t>表3.2  本校2017-2018学年度主题思政教育一览表</w:t>
      </w:r>
    </w:p>
    <w:p>
      <w:pPr>
        <w:widowControl/>
        <w:spacing w:line="0" w:lineRule="atLeast"/>
        <w:jc w:val="left"/>
        <w:rPr>
          <w:rFonts w:ascii="仿宋" w:hAnsi="仿宋" w:eastAsia="仿宋" w:cs="宋体"/>
          <w:color w:val="0D0D0D" w:themeColor="text1" w:themeTint="F2"/>
          <w:kern w:val="0"/>
          <w:sz w:val="24"/>
          <w:lang w:bidi="ar"/>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数据来源：四川财经职业学院学生工作部（院团委）提供</w:t>
      </w:r>
    </w:p>
    <w:p>
      <w:pPr>
        <w:spacing w:line="360" w:lineRule="auto"/>
        <w:ind w:firstLine="480"/>
        <w:jc w:val="left"/>
      </w:pPr>
      <w:r>
        <w:drawing>
          <wp:inline distT="0" distB="0" distL="114300" distR="114300">
            <wp:extent cx="4373880" cy="2564130"/>
            <wp:effectExtent l="0" t="0" r="7620" b="762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
                    <a:stretch>
                      <a:fillRect/>
                    </a:stretch>
                  </pic:blipFill>
                  <pic:spPr>
                    <a:xfrm>
                      <a:off x="0" y="0"/>
                      <a:ext cx="4379771" cy="2568066"/>
                    </a:xfrm>
                    <a:prstGeom prst="rect">
                      <a:avLst/>
                    </a:prstGeom>
                    <a:noFill/>
                    <a:ln w="9525">
                      <a:noFill/>
                    </a:ln>
                  </pic:spPr>
                </pic:pic>
              </a:graphicData>
            </a:graphic>
          </wp:inline>
        </w:drawing>
      </w:r>
    </w:p>
    <w:p>
      <w:pPr>
        <w:spacing w:line="360" w:lineRule="auto"/>
        <w:ind w:firstLine="480"/>
        <w:jc w:val="center"/>
        <w:rPr>
          <w:rFonts w:ascii="仿宋" w:hAnsi="仿宋" w:eastAsia="仿宋" w:cs="仿宋"/>
          <w:b/>
          <w:bCs/>
        </w:rPr>
      </w:pPr>
      <w:r>
        <w:rPr>
          <w:rFonts w:hint="eastAsia" w:ascii="仿宋" w:hAnsi="仿宋" w:eastAsia="仿宋" w:cs="仿宋"/>
          <w:b/>
          <w:bCs/>
        </w:rPr>
        <w:t>图3.1  主题教育活动部分图片</w:t>
      </w:r>
    </w:p>
    <w:p>
      <w:pPr>
        <w:spacing w:line="360" w:lineRule="auto"/>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图片来源：四川财经职业学院“青春川财”微信公众号</w:t>
      </w:r>
    </w:p>
    <w:p>
      <w:pPr>
        <w:spacing w:line="360" w:lineRule="auto"/>
        <w:ind w:firstLine="480" w:firstLineChars="200"/>
        <w:rPr>
          <w:rFonts w:ascii="仿宋" w:hAnsi="仿宋" w:eastAsia="仿宋" w:cs="宋体"/>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bCs/>
          <w:color w:val="0D0D0D" w:themeColor="text1" w:themeTint="F2"/>
          <w:sz w:val="24"/>
          <w14:textFill>
            <w14:solidFill>
              <w14:schemeClr w14:val="tx1">
                <w14:lumMod w14:val="95000"/>
                <w14:lumOff w14:val="5000"/>
              </w14:schemeClr>
            </w14:solidFill>
          </w14:textFill>
        </w:rPr>
        <w:t>（3）助学服务：助力学生圆梦人生</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学校建立了较为完善的“奖、助、贷、勤、减、补”资助体系和“申请、评议、公示、审核”工作程序，确保家庭经济困难学生能够如期完成学业。本学年有3人享受国家奖学金，136人享受国家励志奖学金，1,703人享受国家助学金；应征入伍学费补偿贷款代偿11人，勤工助学1,234人次，发放院级奖学金2,338人。在新生入学之际， 开辟贫困生“绿色通道”，及时为950名学生办理了生源地信用助学贷款，发放特殊困难补助金16.54万元。走访20名家庭困难学生，发放贫困慰问金2万元。积极开展资助诚信教育主题活动月活动，组织“资助政策，助我成长”征文比赛，举办第七届校园“自强之星”和第二届“感动财院学子”评选活动，组织“爱心社”深入社区，帮助留守儿童，关爱老人，将感恩之情回报社会。我院学生资助工作于2018年9月接受省纪委抽检，获得了高度赞誉：“制度完善、运行规范、程序公开、结果公正”。</w:t>
      </w:r>
    </w:p>
    <w:p>
      <w:pPr>
        <w:spacing w:line="360" w:lineRule="auto"/>
        <w:jc w:val="center"/>
        <w:rPr>
          <w:rFonts w:ascii="仿宋" w:hAnsi="仿宋" w:eastAsia="仿宋" w:cs="黑体"/>
          <w:b/>
          <w:bCs/>
          <w:color w:val="0D0D0D" w:themeColor="text1" w:themeTint="F2"/>
          <w:szCs w:val="21"/>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Cs w:val="21"/>
          <w14:textFill>
            <w14:solidFill>
              <w14:schemeClr w14:val="tx1">
                <w14:lumMod w14:val="95000"/>
                <w14:lumOff w14:val="5000"/>
              </w14:schemeClr>
            </w14:solidFill>
          </w14:textFill>
        </w:rPr>
        <w:t>表3.3  本校 2017-2018学年学生奖助情况一览表</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种类</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人数</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发放标准</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国家奖学金</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3</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8000元/人</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国家励志奖学金</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136</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5000元/人</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国家助学金</w:t>
            </w:r>
          </w:p>
        </w:tc>
        <w:tc>
          <w:tcPr>
            <w:tcW w:w="21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1,703</w:t>
            </w:r>
          </w:p>
        </w:tc>
        <w:tc>
          <w:tcPr>
            <w:tcW w:w="213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一等4000元/人/年</w:t>
            </w:r>
          </w:p>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二等3000元/人/年</w:t>
            </w:r>
          </w:p>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三等2000元/人/年</w:t>
            </w:r>
          </w:p>
        </w:tc>
        <w:tc>
          <w:tcPr>
            <w:tcW w:w="213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510.90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院级奖学金</w:t>
            </w:r>
          </w:p>
        </w:tc>
        <w:tc>
          <w:tcPr>
            <w:tcW w:w="21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2,338</w:t>
            </w:r>
          </w:p>
        </w:tc>
        <w:tc>
          <w:tcPr>
            <w:tcW w:w="213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一等600元/人/年</w:t>
            </w:r>
          </w:p>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二等500元/人/年</w:t>
            </w:r>
          </w:p>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三等400元/人/年</w:t>
            </w:r>
          </w:p>
        </w:tc>
        <w:tc>
          <w:tcPr>
            <w:tcW w:w="213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应征入伍学费补偿</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11</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据实补偿</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勤工助学</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1,234</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8-10元/小时</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29.61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特殊困难补助</w:t>
            </w:r>
          </w:p>
        </w:tc>
        <w:tc>
          <w:tcPr>
            <w:tcW w:w="2130"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692</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特困一等400元/人/月</w:t>
            </w:r>
          </w:p>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特困其他等级200元/人/月</w:t>
            </w:r>
          </w:p>
        </w:tc>
        <w:tc>
          <w:tcPr>
            <w:tcW w:w="2131" w:type="dxa"/>
            <w:tcBorders>
              <w:top w:val="single" w:color="auto" w:sz="4" w:space="0"/>
              <w:left w:val="single" w:color="auto" w:sz="4" w:space="0"/>
              <w:bottom w:val="single" w:color="auto" w:sz="4" w:space="0"/>
              <w:right w:val="single" w:color="auto" w:sz="4" w:space="0"/>
            </w:tcBorders>
          </w:tcPr>
          <w:p>
            <w:pPr>
              <w:spacing w:line="0" w:lineRule="atLeast"/>
              <w:jc w:val="center"/>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18.65</w:t>
            </w:r>
          </w:p>
        </w:tc>
      </w:tr>
    </w:tbl>
    <w:p>
      <w:pPr>
        <w:widowControl/>
        <w:spacing w:line="0" w:lineRule="atLeast"/>
        <w:rPr>
          <w:rFonts w:ascii="仿宋" w:hAnsi="仿宋" w:eastAsia="仿宋" w:cs="宋体"/>
          <w:color w:val="0D0D0D" w:themeColor="text1" w:themeTint="F2"/>
          <w:kern w:val="0"/>
          <w:sz w:val="24"/>
          <w:lang w:bidi="ar"/>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数据来源：四川财经职业学院学生资助中心提供</w:t>
      </w:r>
    </w:p>
    <w:p>
      <w:pPr>
        <w:spacing w:line="0" w:lineRule="atLeast"/>
        <w:ind w:firstLine="480"/>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059555" cy="20808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63916" cy="2083435"/>
                    </a:xfrm>
                    <a:prstGeom prst="rect">
                      <a:avLst/>
                    </a:prstGeom>
                    <a:noFill/>
                    <a:ln>
                      <a:noFill/>
                    </a:ln>
                  </pic:spPr>
                </pic:pic>
              </a:graphicData>
            </a:graphic>
          </wp:inline>
        </w:drawing>
      </w:r>
    </w:p>
    <w:p>
      <w:pPr>
        <w:spacing w:line="0" w:lineRule="atLeast"/>
        <w:ind w:firstLine="480"/>
        <w:jc w:val="center"/>
        <w:rPr>
          <w:rFonts w:ascii="仿宋" w:hAnsi="仿宋" w:eastAsia="仿宋" w:cs="仿宋"/>
          <w:b/>
          <w:bCs/>
        </w:rPr>
      </w:pPr>
      <w:r>
        <w:rPr>
          <w:rFonts w:hint="eastAsia" w:ascii="仿宋" w:hAnsi="仿宋" w:eastAsia="仿宋" w:cs="仿宋"/>
          <w:b/>
          <w:bCs/>
        </w:rPr>
        <w:t xml:space="preserve">图3.2  </w:t>
      </w:r>
      <w:r>
        <w:rPr>
          <w:rFonts w:hint="eastAsia" w:ascii="仿宋" w:hAnsi="仿宋" w:eastAsia="仿宋"/>
          <w:b/>
          <w:color w:val="0D0D0D" w:themeColor="text1" w:themeTint="F2"/>
          <w14:textFill>
            <w14:solidFill>
              <w14:schemeClr w14:val="tx1">
                <w14:lumMod w14:val="95000"/>
                <w14:lumOff w14:val="5000"/>
              </w14:schemeClr>
            </w14:solidFill>
          </w14:textFill>
        </w:rPr>
        <w:t>四川省纪委抽检</w:t>
      </w:r>
      <w:r>
        <w:rPr>
          <w:rFonts w:ascii="仿宋" w:hAnsi="仿宋" w:eastAsia="仿宋"/>
          <w:b/>
          <w:color w:val="0D0D0D" w:themeColor="text1" w:themeTint="F2"/>
          <w14:textFill>
            <w14:solidFill>
              <w14:schemeClr w14:val="tx1">
                <w14:lumMod w14:val="95000"/>
                <w14:lumOff w14:val="5000"/>
              </w14:schemeClr>
            </w14:solidFill>
          </w14:textFill>
        </w:rPr>
        <w:t>2013-2017</w:t>
      </w:r>
      <w:r>
        <w:rPr>
          <w:rFonts w:hint="eastAsia" w:ascii="仿宋" w:hAnsi="仿宋" w:eastAsia="仿宋"/>
          <w:b/>
          <w:color w:val="0D0D0D" w:themeColor="text1" w:themeTint="F2"/>
          <w14:textFill>
            <w14:solidFill>
              <w14:schemeClr w14:val="tx1">
                <w14:lumMod w14:val="95000"/>
                <w14:lumOff w14:val="5000"/>
              </w14:schemeClr>
            </w14:solidFill>
          </w14:textFill>
        </w:rPr>
        <w:t>年资助工作</w:t>
      </w:r>
    </w:p>
    <w:p>
      <w:pPr>
        <w:widowControl/>
        <w:spacing w:line="0" w:lineRule="atLeast"/>
        <w:jc w:val="left"/>
        <w:rPr>
          <w:rFonts w:ascii="仿宋" w:hAnsi="仿宋" w:eastAsia="仿宋" w:cs="宋体"/>
          <w:color w:val="0D0D0D" w:themeColor="text1" w:themeTint="F2"/>
          <w:sz w:val="16"/>
          <w:szCs w:val="16"/>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t xml:space="preserve"> </w:t>
      </w: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图片来源：四川财经职业学院学生资助中心提供</w:t>
      </w:r>
    </w:p>
    <w:p>
      <w:pPr>
        <w:spacing w:line="0" w:lineRule="atLeast"/>
        <w:jc w:val="center"/>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ascii="仿宋" w:hAnsi="仿宋" w:eastAsia="仿宋" w:cs="宋体"/>
          <w:color w:val="0D0D0D" w:themeColor="text1" w:themeTint="F2"/>
          <w:sz w:val="24"/>
          <w14:textFill>
            <w14:solidFill>
              <w14:schemeClr w14:val="tx1">
                <w14:lumMod w14:val="95000"/>
                <w14:lumOff w14:val="5000"/>
              </w14:schemeClr>
            </w14:solidFill>
          </w14:textFill>
        </w:rPr>
        <w:drawing>
          <wp:inline distT="0" distB="0" distL="0" distR="0">
            <wp:extent cx="2283460" cy="2497455"/>
            <wp:effectExtent l="0" t="0" r="2540" b="0"/>
            <wp:docPr id="23" name="图片 23" descr="DSC_000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006_副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83748" cy="2497405"/>
                    </a:xfrm>
                    <a:prstGeom prst="rect">
                      <a:avLst/>
                    </a:prstGeom>
                    <a:noFill/>
                    <a:ln>
                      <a:noFill/>
                    </a:ln>
                  </pic:spPr>
                </pic:pic>
              </a:graphicData>
            </a:graphic>
          </wp:inline>
        </w:drawing>
      </w:r>
      <w:r>
        <w:rPr>
          <w:rFonts w:ascii="仿宋" w:hAnsi="仿宋" w:eastAsia="仿宋" w:cs="宋体"/>
          <w:color w:val="0D0D0D" w:themeColor="text1" w:themeTint="F2"/>
          <w:sz w:val="24"/>
          <w14:textFill>
            <w14:solidFill>
              <w14:schemeClr w14:val="tx1">
                <w14:lumMod w14:val="95000"/>
                <w14:lumOff w14:val="5000"/>
              </w14:schemeClr>
            </w14:solidFill>
          </w14:textFill>
        </w:rPr>
        <w:drawing>
          <wp:inline distT="0" distB="0" distL="0" distR="0">
            <wp:extent cx="2265045" cy="2456180"/>
            <wp:effectExtent l="0" t="0" r="1905" b="1270"/>
            <wp:docPr id="22" name="图片 22" descr="DSC_000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_0005_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64761" cy="2455799"/>
                    </a:xfrm>
                    <a:prstGeom prst="rect">
                      <a:avLst/>
                    </a:prstGeom>
                    <a:noFill/>
                    <a:ln>
                      <a:noFill/>
                    </a:ln>
                  </pic:spPr>
                </pic:pic>
              </a:graphicData>
            </a:graphic>
          </wp:inline>
        </w:drawing>
      </w:r>
    </w:p>
    <w:p>
      <w:pPr>
        <w:spacing w:line="0" w:lineRule="atLeast"/>
        <w:ind w:firstLine="480"/>
        <w:jc w:val="center"/>
        <w:rPr>
          <w:rFonts w:ascii="仿宋" w:hAnsi="仿宋" w:eastAsia="仿宋" w:cs="仿宋"/>
          <w:b/>
          <w:bCs/>
          <w:szCs w:val="21"/>
        </w:rPr>
      </w:pPr>
      <w:r>
        <w:rPr>
          <w:rFonts w:hint="eastAsia" w:ascii="仿宋" w:hAnsi="仿宋" w:eastAsia="仿宋" w:cs="仿宋"/>
          <w:b/>
          <w:bCs/>
          <w:szCs w:val="21"/>
        </w:rPr>
        <w:t xml:space="preserve">图3.3  </w:t>
      </w:r>
      <w:r>
        <w:rPr>
          <w:rFonts w:hint="eastAsia" w:ascii="仿宋" w:hAnsi="仿宋" w:eastAsia="仿宋"/>
          <w:b/>
          <w:color w:val="0D0D0D" w:themeColor="text1" w:themeTint="F2"/>
          <w:szCs w:val="21"/>
          <w14:textFill>
            <w14:solidFill>
              <w14:schemeClr w14:val="tx1">
                <w14:lumMod w14:val="95000"/>
                <w14:lumOff w14:val="5000"/>
              </w14:schemeClr>
            </w14:solidFill>
          </w14:textFill>
        </w:rPr>
        <w:t>大学生爱心活动部分图片</w:t>
      </w:r>
    </w:p>
    <w:p>
      <w:pPr>
        <w:spacing w:line="0" w:lineRule="atLeast"/>
        <w:rPr>
          <w:rFonts w:ascii="仿宋" w:hAnsi="仿宋" w:eastAsia="仿宋" w:cs="宋体"/>
          <w:b/>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图片来源：四川财经职业学院大学生爱心社提供</w:t>
      </w:r>
    </w:p>
    <w:p>
      <w:pPr>
        <w:spacing w:line="360" w:lineRule="auto"/>
        <w:ind w:firstLine="480" w:firstLineChars="200"/>
        <w:rPr>
          <w:rFonts w:ascii="仿宋" w:hAnsi="仿宋" w:eastAsia="仿宋" w:cs="宋体"/>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bCs/>
          <w:color w:val="0D0D0D" w:themeColor="text1" w:themeTint="F2"/>
          <w:sz w:val="24"/>
          <w14:textFill>
            <w14:solidFill>
              <w14:schemeClr w14:val="tx1">
                <w14:lumMod w14:val="95000"/>
                <w14:lumOff w14:val="5000"/>
              </w14:schemeClr>
            </w14:solidFill>
          </w14:textFill>
        </w:rPr>
        <w:t xml:space="preserve">（4）健康服务：为青春保驾护航 </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①心理健康</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积极开展“爱心、暖心、舒心”的“三心行动”，针对经济贫困、心理困惑、学习困难和少数民族学生等特殊群体，从物质、精神、学业三个层面进行帮扶教育。举办“珍爱生命·青春正好”主题标语征集、“微笑捕手”摄影大赛、校园心理漫画、奔跑吧青春主题讲座等系列活动；对全院2308名新生进行心理健康普查；全年举办团辅5次，学生干部心理培训8次，心理咨询151人次，重点关注13人，心理干预3人次；组织开展“5.25”心理健康教育宣传周系列活动，引导学生获得积极的情绪体验，培养健康的心理和完善的人格，增强学生适应环境的能力，保证学生的身心健康。</w:t>
      </w:r>
    </w:p>
    <w:p>
      <w:pPr>
        <w:spacing w:line="0" w:lineRule="atLeast"/>
        <w:jc w:val="center"/>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ascii="仿宋" w:hAnsi="仿宋" w:eastAsia="仿宋" w:cs="宋体"/>
          <w:color w:val="0D0D0D" w:themeColor="text1" w:themeTint="F2"/>
          <w:sz w:val="24"/>
          <w14:textFill>
            <w14:solidFill>
              <w14:schemeClr w14:val="tx1">
                <w14:lumMod w14:val="95000"/>
                <w14:lumOff w14:val="5000"/>
              </w14:schemeClr>
            </w14:solidFill>
          </w14:textFill>
        </w:rPr>
        <w:drawing>
          <wp:inline distT="0" distB="0" distL="0" distR="0">
            <wp:extent cx="2859405" cy="2654300"/>
            <wp:effectExtent l="0" t="0" r="0" b="0"/>
            <wp:docPr id="55" name="图片 55" descr="20180529095659_756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180529095659_7561[1]_副本"/>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58843" cy="2653724"/>
                    </a:xfrm>
                    <a:prstGeom prst="rect">
                      <a:avLst/>
                    </a:prstGeom>
                    <a:noFill/>
                    <a:ln>
                      <a:noFill/>
                    </a:ln>
                  </pic:spPr>
                </pic:pic>
              </a:graphicData>
            </a:graphic>
          </wp:inline>
        </w:drawing>
      </w:r>
    </w:p>
    <w:p>
      <w:pPr>
        <w:spacing w:line="360" w:lineRule="auto"/>
        <w:jc w:val="center"/>
        <w:rPr>
          <w:rFonts w:ascii="仿宋" w:hAnsi="仿宋" w:eastAsia="仿宋"/>
          <w:b/>
          <w:color w:val="0D0D0D" w:themeColor="text1" w:themeTint="F2"/>
          <w14:textFill>
            <w14:solidFill>
              <w14:schemeClr w14:val="tx1">
                <w14:lumMod w14:val="95000"/>
                <w14:lumOff w14:val="5000"/>
              </w14:schemeClr>
            </w14:solidFill>
          </w14:textFill>
        </w:rPr>
      </w:pPr>
      <w:r>
        <w:rPr>
          <w:rFonts w:hint="eastAsia" w:ascii="仿宋" w:hAnsi="仿宋" w:eastAsia="仿宋" w:cs="仿宋"/>
          <w:b/>
          <w:bCs/>
          <w:szCs w:val="21"/>
        </w:rPr>
        <w:t xml:space="preserve">图3.4  </w:t>
      </w:r>
      <w:r>
        <w:rPr>
          <w:rFonts w:hint="eastAsia" w:ascii="仿宋" w:hAnsi="仿宋" w:eastAsia="仿宋"/>
          <w:b/>
          <w:color w:val="0D0D0D" w:themeColor="text1" w:themeTint="F2"/>
          <w14:textFill>
            <w14:solidFill>
              <w14:schemeClr w14:val="tx1">
                <w14:lumMod w14:val="95000"/>
                <w14:lumOff w14:val="5000"/>
              </w14:schemeClr>
            </w14:solidFill>
          </w14:textFill>
        </w:rPr>
        <w:t>第十一届</w:t>
      </w:r>
      <w:r>
        <w:rPr>
          <w:rFonts w:ascii="仿宋" w:hAnsi="仿宋" w:eastAsia="仿宋"/>
          <w:b/>
          <w:color w:val="0D0D0D" w:themeColor="text1" w:themeTint="F2"/>
          <w14:textFill>
            <w14:solidFill>
              <w14:schemeClr w14:val="tx1">
                <w14:lumMod w14:val="95000"/>
                <w14:lumOff w14:val="5000"/>
              </w14:schemeClr>
            </w14:solidFill>
          </w14:textFill>
        </w:rPr>
        <w:t>5.25</w:t>
      </w:r>
      <w:r>
        <w:rPr>
          <w:rFonts w:hint="eastAsia" w:ascii="仿宋" w:hAnsi="仿宋" w:eastAsia="仿宋"/>
          <w:b/>
          <w:color w:val="0D0D0D" w:themeColor="text1" w:themeTint="F2"/>
          <w14:textFill>
            <w14:solidFill>
              <w14:schemeClr w14:val="tx1">
                <w14:lumMod w14:val="95000"/>
                <w14:lumOff w14:val="5000"/>
              </w14:schemeClr>
            </w14:solidFill>
          </w14:textFill>
        </w:rPr>
        <w:t>心理健康周部分活动采撷</w:t>
      </w:r>
    </w:p>
    <w:p>
      <w:pPr>
        <w:spacing w:line="360" w:lineRule="auto"/>
        <w:rPr>
          <w:rFonts w:ascii="仿宋" w:hAnsi="仿宋" w:eastAsia="仿宋"/>
          <w:color w:val="0D0D0D" w:themeColor="text1" w:themeTint="F2"/>
          <w14:textFill>
            <w14:solidFill>
              <w14:schemeClr w14:val="tx1">
                <w14:lumMod w14:val="95000"/>
                <w14:lumOff w14:val="5000"/>
              </w14:schemeClr>
            </w14:solidFill>
          </w14:textFill>
        </w:rPr>
      </w:pPr>
      <w:r>
        <w:rPr>
          <w:rFonts w:hint="eastAsia" w:ascii="仿宋" w:hAnsi="仿宋" w:eastAsia="仿宋" w:cs="宋体"/>
          <w:color w:val="0D0D0D" w:themeColor="text1" w:themeTint="F2"/>
          <w:sz w:val="16"/>
          <w:szCs w:val="16"/>
          <w14:textFill>
            <w14:solidFill>
              <w14:schemeClr w14:val="tx1">
                <w14:lumMod w14:val="95000"/>
                <w14:lumOff w14:val="5000"/>
              </w14:schemeClr>
            </w14:solidFill>
          </w14:textFill>
        </w:rPr>
        <w:t>图片来源：四川财经职业学院大学生心理健康教育中心提供</w:t>
      </w:r>
    </w:p>
    <w:p>
      <w:pPr>
        <w:spacing w:line="360" w:lineRule="auto"/>
        <w:ind w:left="48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②身体健康</w:t>
      </w:r>
    </w:p>
    <w:p>
      <w:pPr>
        <w:spacing w:line="360" w:lineRule="auto"/>
        <w:ind w:firstLine="482"/>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A.禁毒防艾教育——为了让全院师生能正确认识艾滋病和毒品的危害，以倡导健康文明生活方式，我院在每年的“12·1世界艾滋病日”举办系列主题活动，迄今历时五载。通过系列活动的开展，让同学们能掌握到比较全面的艾滋病和毒品危害知识，提高防范和鉴别能力，增强自我保护意识，为构建健康校园、和谐校园奠定了坚实的基础。</w:t>
      </w:r>
    </w:p>
    <w:p>
      <w:pPr>
        <w:pStyle w:val="14"/>
        <w:spacing w:before="0" w:beforeAutospacing="0" w:after="0" w:afterAutospacing="0" w:line="0" w:lineRule="atLeast"/>
        <w:ind w:left="420" w:leftChars="200"/>
        <w:jc w:val="center"/>
        <w:rPr>
          <w:rFonts w:ascii="仿宋" w:hAnsi="仿宋" w:eastAsia="仿宋"/>
          <w:color w:val="0D0D0D" w:themeColor="text1" w:themeTint="F2"/>
          <w:kern w:val="2"/>
          <w14:textFill>
            <w14:solidFill>
              <w14:schemeClr w14:val="tx1">
                <w14:lumMod w14:val="95000"/>
                <w14:lumOff w14:val="5000"/>
              </w14:schemeClr>
            </w14:solidFill>
          </w14:textFill>
        </w:rPr>
      </w:pPr>
      <w:r>
        <w:rPr>
          <w:rFonts w:ascii="仿宋" w:hAnsi="仿宋" w:eastAsia="仿宋"/>
          <w:color w:val="0D0D0D" w:themeColor="text1" w:themeTint="F2"/>
          <w:kern w:val="2"/>
          <w14:textFill>
            <w14:solidFill>
              <w14:schemeClr w14:val="tx1">
                <w14:lumMod w14:val="95000"/>
                <w14:lumOff w14:val="5000"/>
              </w14:schemeClr>
            </w14:solidFill>
          </w14:textFill>
        </w:rPr>
        <w:drawing>
          <wp:inline distT="0" distB="0" distL="0" distR="0">
            <wp:extent cx="2415540" cy="2415540"/>
            <wp:effectExtent l="0" t="0" r="3810" b="3810"/>
            <wp:docPr id="20" name="图片 20" descr="04231453qdc8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4231453qdc82_副本"/>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13686" cy="2413686"/>
                    </a:xfrm>
                    <a:prstGeom prst="rect">
                      <a:avLst/>
                    </a:prstGeom>
                    <a:noFill/>
                    <a:ln>
                      <a:noFill/>
                    </a:ln>
                  </pic:spPr>
                </pic:pic>
              </a:graphicData>
            </a:graphic>
          </wp:inline>
        </w:drawing>
      </w:r>
    </w:p>
    <w:p>
      <w:pPr>
        <w:pStyle w:val="14"/>
        <w:spacing w:before="0" w:beforeAutospacing="0" w:after="0" w:afterAutospacing="0" w:line="360" w:lineRule="auto"/>
        <w:jc w:val="center"/>
        <w:rPr>
          <w:rFonts w:ascii="仿宋" w:hAnsi="仿宋" w:eastAsia="仿宋"/>
          <w:color w:val="0D0D0D" w:themeColor="text1" w:themeTint="F2"/>
          <w:sz w:val="16"/>
          <w:szCs w:val="16"/>
          <w14:textFill>
            <w14:solidFill>
              <w14:schemeClr w14:val="tx1">
                <w14:lumMod w14:val="95000"/>
                <w14:lumOff w14:val="5000"/>
              </w14:schemeClr>
            </w14:solidFill>
          </w14:textFill>
        </w:rPr>
      </w:pPr>
      <w:r>
        <w:rPr>
          <w:rFonts w:hint="eastAsia" w:ascii="仿宋" w:hAnsi="仿宋" w:eastAsia="仿宋" w:cs="仿宋"/>
          <w:b/>
          <w:bCs/>
          <w:sz w:val="21"/>
          <w:szCs w:val="21"/>
        </w:rPr>
        <w:t>图3.5  2018年</w:t>
      </w:r>
      <w:r>
        <w:rPr>
          <w:rFonts w:hint="eastAsia" w:ascii="仿宋" w:hAnsi="仿宋" w:eastAsia="仿宋"/>
          <w:b/>
          <w:bCs/>
          <w:color w:val="0D0D0D" w:themeColor="text1" w:themeTint="F2"/>
          <w:sz w:val="21"/>
          <w:szCs w:val="21"/>
          <w14:textFill>
            <w14:solidFill>
              <w14:schemeClr w14:val="tx1">
                <w14:lumMod w14:val="95000"/>
                <w14:lumOff w14:val="5000"/>
              </w14:schemeClr>
            </w14:solidFill>
          </w14:textFill>
        </w:rPr>
        <w:t>“12·1世界艾滋病日”系列活动</w:t>
      </w:r>
    </w:p>
    <w:p>
      <w:pPr>
        <w:pStyle w:val="14"/>
        <w:spacing w:before="0" w:beforeAutospacing="0" w:after="0" w:afterAutospacing="0" w:line="360" w:lineRule="auto"/>
        <w:rPr>
          <w:rFonts w:ascii="仿宋" w:hAnsi="仿宋" w:eastAsia="仿宋"/>
          <w:color w:val="0D0D0D" w:themeColor="text1" w:themeTint="F2"/>
          <w:kern w:val="2"/>
          <w14:textFill>
            <w14:solidFill>
              <w14:schemeClr w14:val="tx1">
                <w14:lumMod w14:val="95000"/>
                <w14:lumOff w14:val="5000"/>
              </w14:schemeClr>
            </w14:solidFill>
          </w14:textFill>
        </w:rPr>
      </w:pPr>
      <w:r>
        <w:rPr>
          <w:rFonts w:hint="eastAsia" w:ascii="仿宋" w:hAnsi="仿宋" w:eastAsia="仿宋"/>
          <w:color w:val="0D0D0D" w:themeColor="text1" w:themeTint="F2"/>
          <w:sz w:val="16"/>
          <w:szCs w:val="16"/>
          <w14:textFill>
            <w14:solidFill>
              <w14:schemeClr w14:val="tx1">
                <w14:lumMod w14:val="95000"/>
                <w14:lumOff w14:val="5000"/>
              </w14:schemeClr>
            </w14:solidFill>
          </w14:textFill>
        </w:rPr>
        <w:t>图片来源：四川财经职业学院大学生健康协会提供</w:t>
      </w:r>
    </w:p>
    <w:p>
      <w:pPr>
        <w:spacing w:line="360" w:lineRule="auto"/>
        <w:ind w:firstLine="482"/>
        <w:rPr>
          <w:rFonts w:ascii="仿宋" w:hAnsi="仿宋" w:eastAsia="仿宋" w:cs="华文楷体"/>
          <w:color w:val="0D0D0D" w:themeColor="text1" w:themeTint="F2"/>
          <w:sz w:val="24"/>
          <w14:textFill>
            <w14:solidFill>
              <w14:schemeClr w14:val="tx1">
                <w14:lumMod w14:val="95000"/>
                <w14:lumOff w14:val="5000"/>
              </w14:schemeClr>
            </w14:solidFill>
          </w14:textFill>
        </w:rPr>
      </w:pPr>
      <w:r>
        <w:rPr>
          <w:rFonts w:hint="eastAsia" w:ascii="仿宋" w:hAnsi="仿宋" w:eastAsia="仿宋" w:cs="华文楷体"/>
          <w:color w:val="0D0D0D" w:themeColor="text1" w:themeTint="F2"/>
          <w:sz w:val="24"/>
          <w14:textFill>
            <w14:solidFill>
              <w14:schemeClr w14:val="tx1">
                <w14:lumMod w14:val="95000"/>
                <w14:lumOff w14:val="5000"/>
              </w14:schemeClr>
            </w14:solidFill>
          </w14:textFill>
        </w:rPr>
        <w:t>B.阳光体育锻炼</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为贯彻落实国家教育部、体育总局及教育厅相关文件精神，大力推动学校阳光体育运动广泛、深入开展，切实提高学生体质健康水平，我院从2013年始把就把晨跑、校园运动会、协会比赛、每日10,000步纳入大学生阳光体育锻炼之中，扎实有效地开展，学生的体育测评过关率明显提升了，身体素质有了较大程度提升。</w:t>
      </w:r>
    </w:p>
    <w:p>
      <w:pPr>
        <w:spacing w:line="360" w:lineRule="auto"/>
        <w:rPr>
          <w:rFonts w:ascii="仿宋" w:hAnsi="仿宋" w:eastAsia="仿宋" w:cs="黑体"/>
          <w:b/>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s="宋体"/>
          <w:b/>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s="黑体"/>
          <w:b/>
          <w:color w:val="0D0D0D" w:themeColor="text1" w:themeTint="F2"/>
          <w:sz w:val="24"/>
          <w14:textFill>
            <w14:solidFill>
              <w14:schemeClr w14:val="tx1">
                <w14:lumMod w14:val="95000"/>
                <w14:lumOff w14:val="5000"/>
              </w14:schemeClr>
            </w14:solidFill>
          </w14:textFill>
        </w:rPr>
        <w:t>3.学生文化素养逐步提升</w:t>
      </w:r>
    </w:p>
    <w:p>
      <w:pPr>
        <w:spacing w:line="360" w:lineRule="auto"/>
        <w:ind w:firstLine="480" w:firstLineChars="200"/>
        <w:rPr>
          <w:rFonts w:ascii="仿宋" w:hAnsi="仿宋" w:eastAsia="仿宋" w:cs="华文楷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（1）</w:t>
      </w:r>
      <w:r>
        <w:rPr>
          <w:rFonts w:hint="eastAsia" w:ascii="仿宋" w:hAnsi="仿宋" w:eastAsia="仿宋" w:cs="华文楷体"/>
          <w:bCs/>
          <w:color w:val="0D0D0D" w:themeColor="text1" w:themeTint="F2"/>
          <w:sz w:val="24"/>
          <w14:textFill>
            <w14:solidFill>
              <w14:schemeClr w14:val="tx1">
                <w14:lumMod w14:val="95000"/>
                <w14:lumOff w14:val="5000"/>
              </w14:schemeClr>
            </w14:solidFill>
          </w14:textFill>
        </w:rPr>
        <w:t>第二课堂成绩单制度—PU口袋</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根据团中央和教育部相关文件规定，在学院党委行政的大力支持下，草拟并通过了《四川财经职业学院“第二课堂成绩单”制度实施办法》。2018年下半年，学院稳步推进“第二课堂成绩单”制度，学习借鉴“第一课堂”的做法，通过在课程设计、系统开发、制度构建、理论研究等方面的探索，将“第二课堂成绩单”的科学内涵、工作内容、运行逻辑运用到实际工作中，努力形成行之有效的工作理念、机制和方法，加强学生参与第二课堂活动的经历和成果的客观记录、有效认证、科学评价，在引导学生坚持学业为主的同时，针对思想政治素质、学习就业创业、社会实践担当、身体心理情感、志愿公益服务和文体素质拓展等普遍需求，全面贯彻“第二课堂成绩单”制度，并使之成为学院人才培养评估、学生综合素质评价、社会单位选人用人的重要依据。</w:t>
      </w:r>
    </w:p>
    <w:p>
      <w:pPr>
        <w:spacing w:line="400" w:lineRule="exact"/>
        <w:rPr>
          <w:rFonts w:ascii="仿宋" w:hAnsi="仿宋" w:eastAsia="仿宋" w:cs="宋体"/>
          <w:b/>
          <w:bCs/>
          <w:color w:val="0D0D0D" w:themeColor="text1" w:themeTint="F2"/>
          <w:sz w:val="24"/>
          <w14:textFill>
            <w14:solidFill>
              <w14:schemeClr w14:val="tx1">
                <w14:lumMod w14:val="95000"/>
                <w14:lumOff w14:val="5000"/>
              </w14:schemeClr>
            </w14:solidFill>
          </w14:textFill>
        </w:rPr>
      </w:pPr>
    </w:p>
    <w:p>
      <w:pPr>
        <w:widowControl/>
        <w:spacing w:line="0" w:lineRule="atLeast"/>
        <w:jc w:val="left"/>
        <w:rPr>
          <w:rFonts w:ascii="仿宋" w:hAnsi="仿宋" w:eastAsia="仿宋"/>
          <w:b/>
          <w:bCs/>
          <w:color w:val="0D0D0D" w:themeColor="text1" w:themeTint="F2"/>
          <w:sz w:val="24"/>
          <w14:textFill>
            <w14:solidFill>
              <w14:schemeClr w14:val="tx1">
                <w14:lumMod w14:val="95000"/>
                <w14:lumOff w14:val="5000"/>
              </w14:schemeClr>
            </w14:solidFill>
          </w14:textFill>
        </w:rPr>
      </w:pPr>
      <w:r>
        <w:rPr>
          <w:rFonts w:ascii="仿宋" w:hAnsi="仿宋" w:eastAsia="仿宋"/>
          <w:b/>
          <w:bCs/>
          <w:color w:val="0D0D0D" w:themeColor="text1" w:themeTint="F2"/>
          <w:sz w:val="24"/>
          <w14:textFill>
            <w14:solidFill>
              <w14:schemeClr w14:val="tx1">
                <w14:lumMod w14:val="95000"/>
                <w14:lumOff w14:val="5000"/>
              </w14:schemeClr>
            </w14:solidFill>
          </w14:textFill>
        </w:rPr>
        <w:drawing>
          <wp:inline distT="0" distB="0" distL="0" distR="0">
            <wp:extent cx="2520315" cy="1979930"/>
            <wp:effectExtent l="0" t="0" r="0" b="1270"/>
            <wp:docPr id="18" name="图片 18" descr="9]Y@6L{4B@9TW$I]3Y%O4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Y@6L{4B@9TW$I]3Y%O4H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315" cy="1979930"/>
                    </a:xfrm>
                    <a:prstGeom prst="rect">
                      <a:avLst/>
                    </a:prstGeom>
                    <a:noFill/>
                    <a:ln>
                      <a:noFill/>
                    </a:ln>
                  </pic:spPr>
                </pic:pic>
              </a:graphicData>
            </a:graphic>
          </wp:inline>
        </w:drawing>
      </w:r>
      <w:r>
        <w:rPr>
          <w:rFonts w:ascii="仿宋" w:hAnsi="仿宋" w:eastAsia="仿宋"/>
          <w:b/>
          <w:bCs/>
          <w:color w:val="0D0D0D" w:themeColor="text1" w:themeTint="F2"/>
          <w:sz w:val="24"/>
          <w14:textFill>
            <w14:solidFill>
              <w14:schemeClr w14:val="tx1">
                <w14:lumMod w14:val="95000"/>
                <w14:lumOff w14:val="5000"/>
              </w14:schemeClr>
            </w14:solidFill>
          </w14:textFill>
        </w:rPr>
        <w:t xml:space="preserve">  </w:t>
      </w:r>
      <w:r>
        <w:rPr>
          <w:rFonts w:ascii="仿宋" w:hAnsi="仿宋" w:eastAsia="仿宋" w:cs="宋体"/>
          <w:color w:val="0D0D0D" w:themeColor="text1" w:themeTint="F2"/>
          <w:kern w:val="0"/>
          <w:sz w:val="24"/>
          <w14:textFill>
            <w14:solidFill>
              <w14:schemeClr w14:val="tx1">
                <w14:lumMod w14:val="95000"/>
                <w14:lumOff w14:val="5000"/>
              </w14:schemeClr>
            </w14:solidFill>
          </w14:textFill>
        </w:rPr>
        <w:drawing>
          <wp:inline distT="0" distB="0" distL="0" distR="0">
            <wp:extent cx="2504440" cy="1979930"/>
            <wp:effectExtent l="0" t="0" r="0" b="127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04440" cy="1979930"/>
                    </a:xfrm>
                    <a:prstGeom prst="rect">
                      <a:avLst/>
                    </a:prstGeom>
                    <a:noFill/>
                    <a:ln>
                      <a:noFill/>
                    </a:ln>
                  </pic:spPr>
                </pic:pic>
              </a:graphicData>
            </a:graphic>
          </wp:inline>
        </w:drawing>
      </w:r>
    </w:p>
    <w:p>
      <w:pPr>
        <w:spacing w:line="360" w:lineRule="auto"/>
        <w:ind w:firstLine="211" w:firstLineChars="100"/>
        <w:jc w:val="center"/>
        <w:rPr>
          <w:rFonts w:ascii="仿宋" w:hAnsi="仿宋" w:eastAsia="仿宋"/>
          <w:b/>
          <w:bCs/>
          <w:color w:val="0D0D0D" w:themeColor="text1" w:themeTint="F2"/>
          <w:szCs w:val="21"/>
          <w14:textFill>
            <w14:solidFill>
              <w14:schemeClr w14:val="tx1">
                <w14:lumMod w14:val="95000"/>
                <w14:lumOff w14:val="5000"/>
              </w14:schemeClr>
            </w14:solidFill>
          </w14:textFill>
        </w:rPr>
      </w:pPr>
      <w:r>
        <w:rPr>
          <w:rFonts w:hint="eastAsia" w:ascii="仿宋" w:hAnsi="仿宋" w:eastAsia="仿宋" w:cs="仿宋"/>
          <w:b/>
          <w:bCs/>
          <w:szCs w:val="21"/>
        </w:rPr>
        <w:t xml:space="preserve">图3.6   </w:t>
      </w:r>
      <w:r>
        <w:rPr>
          <w:rFonts w:hint="eastAsia" w:ascii="仿宋" w:hAnsi="仿宋" w:eastAsia="仿宋"/>
          <w:b/>
          <w:bCs/>
          <w:color w:val="0D0D0D" w:themeColor="text1" w:themeTint="F2"/>
          <w:szCs w:val="21"/>
          <w14:textFill>
            <w14:solidFill>
              <w14:schemeClr w14:val="tx1">
                <w14:lumMod w14:val="95000"/>
                <w14:lumOff w14:val="5000"/>
              </w14:schemeClr>
            </w14:solidFill>
          </w14:textFill>
        </w:rPr>
        <w:t>第二课堂的重要阵地-PU平台</w:t>
      </w:r>
    </w:p>
    <w:p>
      <w:pPr>
        <w:spacing w:line="360" w:lineRule="auto"/>
        <w:ind w:firstLine="480" w:firstLineChars="200"/>
        <w:rPr>
          <w:rFonts w:ascii="仿宋" w:hAnsi="仿宋" w:eastAsia="仿宋" w:cs="华文楷体"/>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华文楷体"/>
          <w:bCs/>
          <w:color w:val="0D0D0D" w:themeColor="text1" w:themeTint="F2"/>
          <w:sz w:val="24"/>
          <w14:textFill>
            <w14:solidFill>
              <w14:schemeClr w14:val="tx1">
                <w14:lumMod w14:val="95000"/>
                <w14:lumOff w14:val="5000"/>
              </w14:schemeClr>
            </w14:solidFill>
          </w14:textFill>
        </w:rPr>
        <w:t>（2）校园文化：以文化人润心田</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2018年，我院遵循“德育为先，能力为重，全面发展”的原则，沿着素质教育主体化、主题活动系列化、系列项目精品化的建设思路，以学生为中心开展了以“高雅文化、传统文化、红色文化”三大文化为主体的具有财院特色的校园文化活动体系。</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①注重高雅文化的感召力</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以大学生艺术节、高雅艺术进校园等系列活动为载体，面向全体学生，坚持普及和提高相结合、思想性和艺术性相结合、文化传承和艺术创新相结合，让高雅文化融入学生学习、生活，提高大学生的审美修养和人文素养。2018年3月，学院组织全体同学观看了《守护青春不偏航-看起来很美》话剧表演；2018年上半年，学院组织了2018年艺术节系列活动；2018年6月，学院组织了大型民族管弦乐交响乐表演；等等。</w:t>
      </w:r>
    </w:p>
    <w:p>
      <w:pPr>
        <w:spacing w:line="0" w:lineRule="atLeast"/>
        <w:rPr>
          <w:rFonts w:ascii="仿宋" w:hAnsi="仿宋" w:eastAsia="仿宋" w:cs="华文楷体"/>
          <w:color w:val="0D0D0D" w:themeColor="text1" w:themeTint="F2"/>
          <w:sz w:val="28"/>
          <w:szCs w:val="28"/>
          <w14:textFill>
            <w14:solidFill>
              <w14:schemeClr w14:val="tx1">
                <w14:lumMod w14:val="95000"/>
                <w14:lumOff w14:val="5000"/>
              </w14:schemeClr>
            </w14:solidFill>
          </w14:textFill>
        </w:rPr>
      </w:pPr>
      <w:r>
        <w:rPr>
          <w:rFonts w:ascii="仿宋" w:hAnsi="仿宋" w:eastAsia="仿宋" w:cs="华文楷体"/>
          <w:color w:val="0D0D0D" w:themeColor="text1" w:themeTint="F2"/>
          <w:sz w:val="28"/>
          <w:szCs w:val="28"/>
          <w14:textFill>
            <w14:solidFill>
              <w14:schemeClr w14:val="tx1">
                <w14:lumMod w14:val="95000"/>
                <w14:lumOff w14:val="5000"/>
              </w14:schemeClr>
            </w14:solidFill>
          </w14:textFill>
        </w:rPr>
        <w:drawing>
          <wp:inline distT="0" distB="0" distL="0" distR="0">
            <wp:extent cx="2512695" cy="1677670"/>
            <wp:effectExtent l="0" t="0" r="1905" b="0"/>
            <wp:docPr id="16" name="图片 16" descr="13232137z1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232137z1y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12695" cy="1677670"/>
                    </a:xfrm>
                    <a:prstGeom prst="rect">
                      <a:avLst/>
                    </a:prstGeom>
                    <a:noFill/>
                    <a:ln>
                      <a:noFill/>
                    </a:ln>
                  </pic:spPr>
                </pic:pic>
              </a:graphicData>
            </a:graphic>
          </wp:inline>
        </w:drawing>
      </w:r>
      <w:r>
        <w:rPr>
          <w:rFonts w:hint="eastAsia" w:ascii="仿宋" w:hAnsi="仿宋" w:eastAsia="仿宋" w:cs="华文楷体"/>
          <w:color w:val="0D0D0D" w:themeColor="text1" w:themeTint="F2"/>
          <w:sz w:val="28"/>
          <w:szCs w:val="28"/>
          <w14:textFill>
            <w14:solidFill>
              <w14:schemeClr w14:val="tx1">
                <w14:lumMod w14:val="95000"/>
                <w14:lumOff w14:val="5000"/>
              </w14:schemeClr>
            </w14:solidFill>
          </w14:textFill>
        </w:rPr>
        <w:t xml:space="preserve">  </w:t>
      </w:r>
      <w:r>
        <w:rPr>
          <w:rFonts w:ascii="仿宋" w:hAnsi="仿宋" w:eastAsia="仿宋" w:cs="华文楷体"/>
          <w:color w:val="0D0D0D" w:themeColor="text1" w:themeTint="F2"/>
          <w:sz w:val="28"/>
          <w:szCs w:val="28"/>
          <w14:textFill>
            <w14:solidFill>
              <w14:schemeClr w14:val="tx1">
                <w14:lumMod w14:val="95000"/>
                <w14:lumOff w14:val="5000"/>
              </w14:schemeClr>
            </w14:solidFill>
          </w14:textFill>
        </w:rPr>
        <w:drawing>
          <wp:inline distT="0" distB="0" distL="0" distR="0">
            <wp:extent cx="2512695" cy="1677670"/>
            <wp:effectExtent l="0" t="0" r="1905" b="0"/>
            <wp:docPr id="15" name="图片 15" descr="1323205979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232059799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12695" cy="1677670"/>
                    </a:xfrm>
                    <a:prstGeom prst="rect">
                      <a:avLst/>
                    </a:prstGeom>
                    <a:noFill/>
                    <a:ln>
                      <a:noFill/>
                    </a:ln>
                  </pic:spPr>
                </pic:pic>
              </a:graphicData>
            </a:graphic>
          </wp:inline>
        </w:drawing>
      </w:r>
    </w:p>
    <w:p>
      <w:pPr>
        <w:spacing w:line="0" w:lineRule="atLeast"/>
        <w:ind w:firstLine="1476" w:firstLineChars="700"/>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cs="仿宋"/>
          <w:b/>
          <w:bCs/>
          <w:szCs w:val="21"/>
        </w:rPr>
        <w:t xml:space="preserve">图3.7  </w:t>
      </w:r>
      <w:r>
        <w:rPr>
          <w:rFonts w:hint="eastAsia" w:ascii="仿宋" w:hAnsi="仿宋" w:eastAsia="仿宋"/>
          <w:b/>
          <w:color w:val="0D0D0D" w:themeColor="text1" w:themeTint="F2"/>
          <w:szCs w:val="21"/>
          <w14:textFill>
            <w14:solidFill>
              <w14:schemeClr w14:val="tx1">
                <w14:lumMod w14:val="95000"/>
                <w14:lumOff w14:val="5000"/>
              </w14:schemeClr>
            </w14:solidFill>
          </w14:textFill>
        </w:rPr>
        <w:t>大型民族管弦乐交响乐表演走进我院</w:t>
      </w:r>
    </w:p>
    <w:p>
      <w:pPr>
        <w:spacing w:line="400" w:lineRule="exact"/>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②注重传统文化的教化力</w:t>
      </w:r>
    </w:p>
    <w:p>
      <w:pPr>
        <w:spacing w:line="400" w:lineRule="exact"/>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以传统文化进校园活动为契机，将京剧表演、川剧表演、国学知识竞赛等活动深入校园，深入开展中华优秀传统文化教育，积极推进优秀传统文化进校园，在优秀传统文化活动中强调完善人格、注重培养民族精神和崇高品格，将校园作为传统艺术的主阵地。持续开展大学生读书节活动，将“经典名篇”的学习和诵读作为读书节系列活动的重要内容；邀请专家学者开展讲座，指导引领师生对传统文化的学习；2018年5月，组织了校园艺术节之书法大赛；2018年11月举行了“2018戏剧进校园—京剧走进四川财经职业学院专长演出”。这些活动都深化了传统文化的传承。</w:t>
      </w:r>
    </w:p>
    <w:p>
      <w:pPr>
        <w:spacing w:line="400" w:lineRule="exact"/>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③注重红色文化的引导力</w:t>
      </w:r>
    </w:p>
    <w:p>
      <w:pPr>
        <w:spacing w:line="400" w:lineRule="exact"/>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重点打造一批原创红色文化作品，通过推陈出新，深化红色文化传承，增强学生民族自信心和自豪感。用红色文化引领大学生健康成长，先后组织和开展了“学习党的十九大”、“传承红色基因，践行社会主义核心价值观”等大学生主题活动。以元旦、春节、爱国运动等重大活动、事件和重大节庆为契机，开展红色文化和爱国主义教育，大力加强大学生民族精神、时代精神和社会主义核心价值观教育。开展“红色文化教育”主题班会，观看红色教育影片、学唱红色歌曲。充分利用学院网站、微信等各类宣传阵地，为加强大学生红色文化教育营造良好氛围，增强爱国主义精神和历史责任感。2018年5月，组织了红色影视原声配音大赛；2018年5月，组织红歌合唱大赛； 2018年4月，组织全体同学观看了爱国影片《厉害了 我的国》和《红海行动》，等等。通过这一系列经典的红色文化活动，广大学生受到了深刻的爱国主义教育，红色文化激励了全院上下。</w:t>
      </w:r>
    </w:p>
    <w:p>
      <w:pPr>
        <w:spacing w:line="360" w:lineRule="auto"/>
        <w:ind w:firstLine="480" w:firstLineChars="200"/>
        <w:rPr>
          <w:rFonts w:ascii="仿宋" w:hAnsi="仿宋" w:eastAsia="仿宋" w:cs="宋体"/>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bCs/>
          <w:color w:val="0D0D0D" w:themeColor="text1" w:themeTint="F2"/>
          <w:sz w:val="24"/>
          <w14:textFill>
            <w14:solidFill>
              <w14:schemeClr w14:val="tx1">
                <w14:lumMod w14:val="95000"/>
                <w14:lumOff w14:val="5000"/>
              </w14:schemeClr>
            </w14:solidFill>
          </w14:textFill>
        </w:rPr>
        <w:t>（3）社团活动：人人都是社团人</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 xml:space="preserve">丰富多彩的学生社团活动是大学校园一道美丽的风景线，我院坚持以习近平新时代中国特色社会主义重要思想为指导，贯彻落实共青团十八大会议精神，围绕学院人才培养目标，积极引导大学生社团充分发挥自我教育、自我管理、自我服务的功能，使学生社团在繁荣校园文化和推进学生素质教育进程中发挥更加突出的作用。目前我院有51个院级社团，已形成公益服务、职能服务、学术科技、文体爱好四大类。   </w:t>
      </w:r>
    </w:p>
    <w:p>
      <w:pPr>
        <w:spacing w:line="360" w:lineRule="auto"/>
        <w:jc w:val="center"/>
        <w:rPr>
          <w:rFonts w:ascii="仿宋" w:hAnsi="仿宋" w:eastAsia="仿宋" w:cs="宋体"/>
          <w:b/>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b/>
          <w:color w:val="0D0D0D" w:themeColor="text1" w:themeTint="F2"/>
          <w:szCs w:val="21"/>
          <w14:textFill>
            <w14:solidFill>
              <w14:schemeClr w14:val="tx1">
                <w14:lumMod w14:val="95000"/>
                <w14:lumOff w14:val="5000"/>
              </w14:schemeClr>
            </w14:solidFill>
          </w14:textFill>
        </w:rPr>
        <w:t>表3.4  2017—2018学年主要社团活动统计表（单位：人次）</w:t>
      </w:r>
    </w:p>
    <w:tbl>
      <w:tblPr>
        <w:tblStyle w:val="19"/>
        <w:tblW w:w="8218" w:type="dxa"/>
        <w:jc w:val="center"/>
        <w:tblInd w:w="0" w:type="dxa"/>
        <w:tblLayout w:type="fixed"/>
        <w:tblCellMar>
          <w:top w:w="0" w:type="dxa"/>
          <w:left w:w="108" w:type="dxa"/>
          <w:bottom w:w="0" w:type="dxa"/>
          <w:right w:w="108" w:type="dxa"/>
        </w:tblCellMar>
      </w:tblPr>
      <w:tblGrid>
        <w:gridCol w:w="883"/>
        <w:gridCol w:w="3150"/>
        <w:gridCol w:w="1725"/>
        <w:gridCol w:w="1320"/>
        <w:gridCol w:w="1140"/>
      </w:tblGrid>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b/>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18"/>
                <w:szCs w:val="18"/>
                <w:lang w:bidi="ar"/>
                <w14:textFill>
                  <w14:solidFill>
                    <w14:schemeClr w14:val="tx1">
                      <w14:lumMod w14:val="95000"/>
                      <w14:lumOff w14:val="5000"/>
                    </w14:schemeClr>
                  </w14:solidFill>
                </w14:textFill>
              </w:rPr>
              <w:t>序号</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b/>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18"/>
                <w:szCs w:val="18"/>
                <w:lang w:bidi="ar"/>
                <w14:textFill>
                  <w14:solidFill>
                    <w14:schemeClr w14:val="tx1">
                      <w14:lumMod w14:val="95000"/>
                      <w14:lumOff w14:val="5000"/>
                    </w14:schemeClr>
                  </w14:solidFill>
                </w14:textFill>
              </w:rPr>
              <w:t>活动名称</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b/>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18"/>
                <w:szCs w:val="18"/>
                <w:lang w:bidi="ar"/>
                <w14:textFill>
                  <w14:solidFill>
                    <w14:schemeClr w14:val="tx1">
                      <w14:lumMod w14:val="95000"/>
                      <w14:lumOff w14:val="5000"/>
                    </w14:schemeClr>
                  </w14:solidFill>
                </w14:textFill>
              </w:rPr>
              <w:t>举办协会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b/>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18"/>
                <w:szCs w:val="18"/>
                <w:lang w:bidi="ar"/>
                <w14:textFill>
                  <w14:solidFill>
                    <w14:schemeClr w14:val="tx1">
                      <w14:lumMod w14:val="95000"/>
                      <w14:lumOff w14:val="5000"/>
                    </w14:schemeClr>
                  </w14:solidFill>
                </w14:textFill>
              </w:rPr>
              <w:t>参与人数</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b/>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b/>
                <w:color w:val="0D0D0D" w:themeColor="text1" w:themeTint="F2"/>
                <w:kern w:val="0"/>
                <w:sz w:val="18"/>
                <w:szCs w:val="18"/>
                <w:lang w:bidi="ar"/>
                <w14:textFill>
                  <w14:solidFill>
                    <w14:schemeClr w14:val="tx1">
                      <w14:lumMod w14:val="95000"/>
                      <w14:lumOff w14:val="5000"/>
                    </w14:schemeClr>
                  </w14:solidFill>
                </w14:textFill>
              </w:rPr>
              <w:t>参与度（%）</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法制朗诵</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法律协会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24</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洛带法律远足</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民法知识讲座 </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法律征文</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法律知识竞赛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寻找财院最美</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爱心社</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 巾帼心向党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跆拳道知识竞赛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跆拳道协会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游园会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社团开幕式</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拉丁舞协会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9</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 闭幕式</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9</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模拟炒股大赛</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理财协会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英语口语技能大赛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英语协会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240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英语书法比赛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英语情景剧</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英语四级讲座</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最佳声搭档</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音乐协会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暖冬送爱心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会青年求实协</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写出你的思政心</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爱心午餐</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移动商务知识竞赛</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移动商务协会  </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180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党在我心中演讲比赛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演讲与口才协会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64</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立志为党添光辉演讲比赛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52</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 蚂蚁庄园献爱心活动</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爱心社</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全院</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养老中心关爱老人活动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协助创新创业协会举办免费午餐活动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全院</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清明成都烈士陵园扫墓活动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足球比赛</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足球协会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41</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2017届双选会</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创新创业协会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第二届创新创业创意大赛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免费午餐</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校外实践基地揭牌仪式</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东进杯创新创业大赛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订单班成立</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35</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创青春大赛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大学生心理情景剧大赛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阳光心理协会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《我的大学》心里漫画</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5.25心理健康活动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趣味数学对抗赛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《窗》文学社</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415</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大美四川征稿</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四川省文学高校发展峰会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50期窗刊征发</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第一届诗词大赛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慢生活照片征集</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南边文艺杯征稿</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51期窗刊征稿</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会计知识竞赛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众锦会计协会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你画我猜  </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游园会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高校书法联展</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书法协会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汉字听写大会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书法技能大赛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 文理杯大学生书画技能大赛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系篮球赛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篮球协会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院篮球赛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闭幕式表演  </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健美操协会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18</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数学知识竞赛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数学建模协会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游园会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游园会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索玛花协会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104</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彝历新年</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82</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迎新晚会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21</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社团活动周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113</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闭幕式表演</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15</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上半年电脑知识竞赛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电脑协会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86</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下半年电脑知识竞赛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94</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个人简历比赛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135</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网球趣味活动</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网球协会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纳税申报技能大赛</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税收协会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123</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69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税收活动周</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166</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市场营销itmc沙盘技能大赛</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sz w:val="18"/>
                <w:szCs w:val="18"/>
                <w14:textFill>
                  <w14:solidFill>
                    <w14:schemeClr w14:val="tx1">
                      <w14:lumMod w14:val="95000"/>
                      <w14:lumOff w14:val="5000"/>
                    </w14:schemeClr>
                  </w14:solidFill>
                </w14:textFill>
              </w:rPr>
              <w:t>市场营销协会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35</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互联网知识竞赛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电子商务协会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500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游园会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289</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快闪</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街舞协会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工商银行王者荣耀嘉年华</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异邦动漫社</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纸牌活动 </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社团聚餐</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450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77</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观看电影烟花</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78</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第11届羽毛球挑战赛   </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羽毛球协会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363</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79</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百科知识竞赛  </w:t>
            </w:r>
          </w:p>
        </w:tc>
        <w:tc>
          <w:tcPr>
            <w:tcW w:w="17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竭诚财审协会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乒乓球比赛 </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乒乓球协会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110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81</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 xml:space="preserve">游园会  </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82</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形色映像摄影展</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摄影协会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200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83</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摄影基础讲座</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30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84</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永辉超市宣讲会</w:t>
            </w:r>
          </w:p>
        </w:tc>
        <w:tc>
          <w:tcPr>
            <w:tcW w:w="172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校企合作协会</w:t>
            </w: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85</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好利来宣讲会</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70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r>
        <w:tblPrEx>
          <w:tblLayout w:type="fixed"/>
          <w:tblCellMar>
            <w:top w:w="0" w:type="dxa"/>
            <w:left w:w="108" w:type="dxa"/>
            <w:bottom w:w="0" w:type="dxa"/>
            <w:right w:w="108" w:type="dxa"/>
          </w:tblCellMar>
        </w:tblPrEx>
        <w:trPr>
          <w:trHeight w:val="170"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86</w:t>
            </w:r>
          </w:p>
        </w:tc>
        <w:tc>
          <w:tcPr>
            <w:tcW w:w="3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校企文化标语竞赛</w:t>
            </w:r>
          </w:p>
        </w:tc>
        <w:tc>
          <w:tcPr>
            <w:tcW w:w="17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0D0D0D" w:themeColor="text1" w:themeTint="F2"/>
                <w:sz w:val="18"/>
                <w:szCs w:val="18"/>
                <w14:textFill>
                  <w14:solidFill>
                    <w14:schemeClr w14:val="tx1">
                      <w14:lumMod w14:val="95000"/>
                      <w14:lumOff w14:val="5000"/>
                    </w14:schemeClr>
                  </w14:solidFill>
                </w14:textFill>
              </w:rPr>
            </w:pPr>
          </w:p>
        </w:tc>
        <w:tc>
          <w:tcPr>
            <w:tcW w:w="13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center"/>
              <w:textAlignment w:val="center"/>
              <w:rPr>
                <w:rFonts w:ascii="仿宋" w:hAnsi="仿宋" w:eastAsia="仿宋" w:cs="仿宋"/>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0"/>
                <w:sz w:val="18"/>
                <w:szCs w:val="18"/>
                <w:lang w:bidi="ar"/>
                <w14:textFill>
                  <w14:solidFill>
                    <w14:schemeClr w14:val="tx1">
                      <w14:lumMod w14:val="95000"/>
                      <w14:lumOff w14:val="5000"/>
                    </w14:schemeClr>
                  </w14:solidFill>
                </w14:textFill>
              </w:rPr>
              <w:t>100%</w:t>
            </w:r>
          </w:p>
        </w:tc>
      </w:tr>
    </w:tbl>
    <w:p>
      <w:pPr>
        <w:widowControl/>
        <w:spacing w:line="360" w:lineRule="auto"/>
        <w:jc w:val="left"/>
        <w:rPr>
          <w:rFonts w:ascii="仿宋" w:hAnsi="仿宋" w:eastAsia="仿宋" w:cs="宋体"/>
          <w:b/>
          <w:bCs/>
          <w:color w:val="0D0D0D" w:themeColor="text1" w:themeTint="F2"/>
          <w:kern w:val="0"/>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数据来源：四川财经职业学院学生社团联合会数据统计</w:t>
      </w:r>
    </w:p>
    <w:p>
      <w:pPr>
        <w:spacing w:line="360" w:lineRule="auto"/>
        <w:ind w:firstLine="352" w:firstLineChars="147"/>
        <w:rPr>
          <w:rFonts w:ascii="仿宋" w:hAnsi="仿宋" w:eastAsia="仿宋" w:cs="宋体"/>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bCs/>
          <w:color w:val="0D0D0D" w:themeColor="text1" w:themeTint="F2"/>
          <w:sz w:val="24"/>
          <w14:textFill>
            <w14:solidFill>
              <w14:schemeClr w14:val="tx1">
                <w14:lumMod w14:val="95000"/>
                <w14:lumOff w14:val="5000"/>
              </w14:schemeClr>
            </w14:solidFill>
          </w14:textFill>
        </w:rPr>
        <w:t>（4）志愿服务：把“爱”洒在人间</w:t>
      </w:r>
    </w:p>
    <w:p>
      <w:pPr>
        <w:spacing w:line="360" w:lineRule="auto"/>
        <w:ind w:firstLine="480" w:firstLineChars="200"/>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学院在中共中央国务院、教育部及省教育厅文件精神地指导下，根据高职学生成长地规律和我院实际，以培养大学生地社会责任感，增强公共道德，提升自身素质修养为宗旨，开展以弘扬公益精神、宣传社会公德、倡导公益文化，开展公益实践，塑造公益形象为主题的“与爱同行”大型公益活动。在全院开展青年学生志愿服务行动，组建了无偿献血队、爱心家教队、关爱老人队、关爱留守儿童与流浪猫狗队、关爱白血病儿童队为需要关心和帮助的贫困家庭、留守儿童、社区、医院提供献爱心志愿服务活动。同时，院团委也与成都市残疾人福利基金会合作在我院开展了“熊猫爱心箱”项目，帮助同学们更好的献爱心。</w:t>
      </w:r>
    </w:p>
    <w:p>
      <w:pPr>
        <w:spacing w:line="360" w:lineRule="auto"/>
        <w:ind w:firstLine="472" w:firstLineChars="196"/>
        <w:jc w:val="left"/>
        <w:rPr>
          <w:rFonts w:ascii="仿宋" w:hAnsi="仿宋" w:eastAsia="仿宋" w:cs="黑体"/>
          <w:b/>
          <w:bCs/>
          <w:color w:val="0D0D0D" w:themeColor="text1" w:themeTint="F2"/>
          <w:sz w:val="24"/>
          <w14:textFill>
            <w14:solidFill>
              <w14:schemeClr w14:val="tx1">
                <w14:lumMod w14:val="95000"/>
                <w14:lumOff w14:val="5000"/>
              </w14:schemeClr>
            </w14:solidFill>
          </w14:textFill>
        </w:rPr>
      </w:pPr>
      <w:r>
        <w:rPr>
          <w:rFonts w:hint="eastAsia" w:ascii="仿宋" w:hAnsi="仿宋" w:eastAsia="仿宋" w:cs="黑体"/>
          <w:b/>
          <w:bCs/>
          <w:color w:val="0D0D0D" w:themeColor="text1" w:themeTint="F2"/>
          <w:sz w:val="24"/>
          <w14:textFill>
            <w14:solidFill>
              <w14:schemeClr w14:val="tx1">
                <w14:lumMod w14:val="95000"/>
                <w14:lumOff w14:val="5000"/>
              </w14:schemeClr>
            </w14:solidFill>
          </w14:textFill>
        </w:rPr>
        <w:t>4.职业能力显著增强</w:t>
      </w:r>
    </w:p>
    <w:p>
      <w:pPr>
        <w:spacing w:line="360" w:lineRule="auto"/>
        <w:ind w:firstLine="480" w:firstLineChars="200"/>
        <w:jc w:val="left"/>
        <w:rPr>
          <w:rFonts w:ascii="仿宋" w:hAnsi="仿宋" w:eastAsia="仿宋" w:cs="宋体"/>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我院十分重视学生职业能力和职业素养的培育，启动了以“职业素质培育八大工程”，紧紧围绕职业道德、职业生涯、职业技能、职业心理、身心素质，久久为功，促进学生的职业能力的提升。2017-2018年学年度，举办了第八届“大学生职业生涯规划设计大赛”。成功举办第二届校园技能大赛，通过专业技能竞赛，达到以赛促学，以赛促练，有效提升学生专业技能水平。</w:t>
      </w:r>
    </w:p>
    <w:p>
      <w:pPr>
        <w:spacing w:line="360" w:lineRule="auto"/>
        <w:ind w:firstLine="720" w:firstLineChars="300"/>
        <w:jc w:val="left"/>
        <w:rPr>
          <w:rFonts w:ascii="仿宋" w:hAnsi="仿宋" w:eastAsia="仿宋" w:cs="宋体"/>
          <w:color w:val="0D0D0D" w:themeColor="text1" w:themeTint="F2"/>
          <w:szCs w:val="21"/>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s="黑体"/>
          <w:b/>
          <w:bCs/>
          <w:color w:val="0D0D0D" w:themeColor="text1" w:themeTint="F2"/>
          <w:szCs w:val="21"/>
          <w14:textFill>
            <w14:solidFill>
              <w14:schemeClr w14:val="tx1">
                <w14:lumMod w14:val="95000"/>
                <w14:lumOff w14:val="5000"/>
              </w14:schemeClr>
            </w14:solidFill>
          </w14:textFill>
        </w:rPr>
        <w:t>表3.5</w:t>
      </w:r>
      <w:r>
        <w:rPr>
          <w:rFonts w:hint="eastAsia" w:ascii="仿宋" w:hAnsi="仿宋" w:eastAsia="仿宋" w:cs="宋体"/>
          <w:color w:val="0D0D0D" w:themeColor="text1" w:themeTint="F2"/>
          <w:szCs w:val="21"/>
          <w14:textFill>
            <w14:solidFill>
              <w14:schemeClr w14:val="tx1">
                <w14:lumMod w14:val="95000"/>
                <w14:lumOff w14:val="5000"/>
              </w14:schemeClr>
            </w14:solidFill>
          </w14:textFill>
        </w:rPr>
        <w:t xml:space="preserve">  </w:t>
      </w:r>
      <w:r>
        <w:rPr>
          <w:rFonts w:hint="eastAsia" w:ascii="仿宋" w:hAnsi="仿宋" w:eastAsia="仿宋" w:cs="黑体"/>
          <w:b/>
          <w:bCs/>
          <w:color w:val="0D0D0D" w:themeColor="text1" w:themeTint="F2"/>
          <w:szCs w:val="21"/>
          <w14:textFill>
            <w14:solidFill>
              <w14:schemeClr w14:val="tx1">
                <w14:lumMod w14:val="95000"/>
                <w14:lumOff w14:val="5000"/>
              </w14:schemeClr>
            </w14:solidFill>
          </w14:textFill>
        </w:rPr>
        <w:t>本校 2017-2018 学年度学生技能竞赛（部分）获奖一览表</w:t>
      </w:r>
    </w:p>
    <w:tbl>
      <w:tblPr>
        <w:tblStyle w:val="19"/>
        <w:tblW w:w="8507" w:type="dxa"/>
        <w:jc w:val="center"/>
        <w:tblInd w:w="0" w:type="dxa"/>
        <w:tblLayout w:type="fixed"/>
        <w:tblCellMar>
          <w:top w:w="0" w:type="dxa"/>
          <w:left w:w="0" w:type="dxa"/>
          <w:bottom w:w="0" w:type="dxa"/>
          <w:right w:w="0" w:type="dxa"/>
        </w:tblCellMar>
      </w:tblPr>
      <w:tblGrid>
        <w:gridCol w:w="520"/>
        <w:gridCol w:w="3894"/>
        <w:gridCol w:w="1254"/>
        <w:gridCol w:w="1028"/>
        <w:gridCol w:w="1811"/>
      </w:tblGrid>
      <w:tr>
        <w:tblPrEx>
          <w:tblLayout w:type="fixed"/>
          <w:tblCellMar>
            <w:top w:w="0" w:type="dxa"/>
            <w:left w:w="0" w:type="dxa"/>
            <w:bottom w:w="0" w:type="dxa"/>
            <w:right w:w="0" w:type="dxa"/>
          </w:tblCellMar>
        </w:tblPrEx>
        <w:trPr>
          <w:trHeight w:val="465" w:hRule="atLeast"/>
          <w:jc w:val="center"/>
        </w:trPr>
        <w:tc>
          <w:tcPr>
            <w:tcW w:w="5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hint="eastAsia" w:ascii="仿宋" w:hAnsi="仿宋" w:eastAsia="仿宋" w:cs="仿宋"/>
                <w:b/>
                <w:color w:val="000000"/>
                <w:kern w:val="0"/>
                <w:sz w:val="18"/>
                <w:szCs w:val="18"/>
                <w:lang w:bidi="ar"/>
              </w:rPr>
              <w:t>序号</w:t>
            </w:r>
          </w:p>
        </w:tc>
        <w:tc>
          <w:tcPr>
            <w:tcW w:w="389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18"/>
                <w:szCs w:val="18"/>
              </w:rPr>
            </w:pPr>
            <w:r>
              <w:rPr>
                <w:rFonts w:hint="eastAsia" w:ascii="仿宋" w:hAnsi="仿宋" w:eastAsia="仿宋" w:cs="仿宋"/>
                <w:b/>
                <w:color w:val="000000"/>
                <w:kern w:val="0"/>
                <w:sz w:val="18"/>
                <w:szCs w:val="18"/>
                <w:lang w:bidi="ar"/>
              </w:rPr>
              <w:t>项目</w:t>
            </w:r>
          </w:p>
        </w:tc>
        <w:tc>
          <w:tcPr>
            <w:tcW w:w="125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竞赛级别</w:t>
            </w:r>
          </w:p>
        </w:tc>
        <w:tc>
          <w:tcPr>
            <w:tcW w:w="10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获奖等级</w:t>
            </w:r>
          </w:p>
        </w:tc>
        <w:tc>
          <w:tcPr>
            <w:tcW w:w="181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参赛选手</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2018年“注协杯”四川省高职院校会计技能大赛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徐亚霞、饶婷、刘璐、陈裕雪</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2018年全国高职职业院校财务管理决策大赛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国家级二类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刘睿、曾诗莉、叶宛沁、陶莉</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3</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 年（第二届）四川省大学生“格力中央空调杯”营销策划大赛”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省级一类竞赛</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潘毅、 梅洁、 吴丹凤、 唐瑶</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4</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 年（第二届）四川省大学生“格力中央空调杯”营销策划大赛”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省级一类竞赛</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汪建平、 易欢欢、 吴清清 、付婷、 杜政</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5</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2018年四川省高职院校大学生会计技能大赛—沙盘模拟企业经营对抗赛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省级一级</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肖雪莲、邓鹏程、叶一君、姜林峰</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6</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2018年四川省高职院校市场营销技能大赛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文嘉民、杜政、吕佳琪、赵刚</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7</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2018年全国高职院校市场营销技能大赛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文嘉民、杜政、吕佳琪、赵刚</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8</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2018年四川省高职院校大学生银行业务综合技能大赛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团体一等奖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何亭婷、宋圆圆、孙诗茹、蒲玉凤</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9</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2018年全国职业院校技能大赛高职组银行业务综合技能赛项</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团体三等奖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何亭婷、宋圆圆、孙诗茹、蒲玉凤</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10</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2018年“注协杯”四川省高职院校大学生会计技能大赛财税技能竞赛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但成梅、李玖龙、李彩虹</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11</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2018年四川省高职院校电子商务技能大赛（GZ-2018137）</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陈世强、李岑玉、曹丹、蒋琬</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12</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2018年全国高职院校电子商务技能大赛（GZ-2018137）</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陈世强、李岑玉、曹丹、蒋琬</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13</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2018年“创青春”四川省大学生创新创业大赛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张宏伟、叶桐</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14</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2018年“创青春”四川省大学生创新创业大赛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吴丹、罗鑫、刘红烨、何佳佳、何昱衡</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15</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2018年“创青春”四川省大学生创新创业大赛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叶盛、张奎、王雅婕、吴雨菲</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16</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2018年“创青春”四川省大学生创新创业大赛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何淼</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17</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2018年“创青春”四川省大学生创新创业大赛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邵棱、张宏伟</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18</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2018年第一届全国高职院校管理会计大赛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sz w:val="18"/>
                <w:szCs w:val="18"/>
              </w:rPr>
            </w:pPr>
            <w:r>
              <w:rPr>
                <w:rFonts w:hint="eastAsia" w:ascii="仿宋" w:hAnsi="仿宋" w:eastAsia="仿宋" w:cs="仿宋"/>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吕晓佳、夏美婷、刘夏、李勇</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19</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2018年全国高职职业院校财务管理决策大赛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国家级二类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刘睿、曾诗莉、叶宛沁、陶莉</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2018年全国高职管理会计大赛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省级二类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周芯玉、雷丹、程欢、蔡仁静</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21</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2018年全国高职院校“审计技能”竞赛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国家级二类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干佳丽、黄洁、汪佳林、黄雪</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22</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2018年第七届全国高等职业院校“正保网中网杯”财务管理决策大赛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省级二类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二等奖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熊金童、钟银、李虹波、陈凤</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23</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D0D0D"/>
                <w:sz w:val="18"/>
                <w:szCs w:val="18"/>
              </w:rPr>
            </w:pPr>
            <w:r>
              <w:rPr>
                <w:rFonts w:hint="eastAsia" w:ascii="仿宋" w:hAnsi="仿宋" w:eastAsia="仿宋" w:cs="仿宋"/>
                <w:color w:val="0D0D0D"/>
                <w:kern w:val="0"/>
                <w:sz w:val="18"/>
                <w:szCs w:val="18"/>
                <w:lang w:bidi="ar"/>
              </w:rPr>
              <w:t>2018年全国高职院校财税技能大赛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省级一类</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但成梅、李玖龙、李彩虹</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24</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第三届”奥派杯”全国移动商务技能竞赛 四川/重庆赛区</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省级二类竞赛</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史瀚文、王一州、彭龙前</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25</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第三届”奥派杯”全国移动商务技能竞赛 四川/重庆赛区</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省级二类竞赛</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一等奖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罗苒晰、王苏凝、梅洁</w:t>
            </w:r>
          </w:p>
        </w:tc>
      </w:tr>
      <w:tr>
        <w:tblPrEx>
          <w:tblLayout w:type="fixed"/>
          <w:tblCellMar>
            <w:top w:w="0" w:type="dxa"/>
            <w:left w:w="0" w:type="dxa"/>
            <w:bottom w:w="0" w:type="dxa"/>
            <w:right w:w="0" w:type="dxa"/>
          </w:tblCellMar>
        </w:tblPrEx>
        <w:trPr>
          <w:trHeight w:val="465" w:hRule="atLeast"/>
          <w:jc w:val="center"/>
        </w:trPr>
        <w:tc>
          <w:tcPr>
            <w:tcW w:w="52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26</w:t>
            </w:r>
          </w:p>
        </w:tc>
        <w:tc>
          <w:tcPr>
            <w:tcW w:w="38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奥派杯全国移动商务技能竞赛</w:t>
            </w:r>
          </w:p>
        </w:tc>
        <w:tc>
          <w:tcPr>
            <w:tcW w:w="125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国级二类竞赛</w:t>
            </w:r>
          </w:p>
        </w:tc>
        <w:tc>
          <w:tcPr>
            <w:tcW w:w="10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三等奖</w:t>
            </w:r>
          </w:p>
        </w:tc>
        <w:tc>
          <w:tcPr>
            <w:tcW w:w="18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罗苒晰、王苏凝、梅洁</w:t>
            </w:r>
          </w:p>
        </w:tc>
      </w:tr>
    </w:tbl>
    <w:p>
      <w:pPr>
        <w:spacing w:line="0" w:lineRule="atLeast"/>
        <w:rPr>
          <w:rFonts w:ascii="仿宋" w:hAnsi="仿宋" w:eastAsia="仿宋" w:cs="宋体"/>
          <w:color w:val="0D0D0D" w:themeColor="text1" w:themeTint="F2"/>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sz w:val="18"/>
          <w:szCs w:val="18"/>
          <w14:textFill>
            <w14:solidFill>
              <w14:schemeClr w14:val="tx1">
                <w14:lumMod w14:val="95000"/>
                <w14:lumOff w14:val="5000"/>
              </w14:schemeClr>
            </w14:solidFill>
          </w14:textFill>
        </w:rPr>
        <w:t>资料来源：四川财经职业学院实训中心、五系三部统计数据</w:t>
      </w:r>
    </w:p>
    <w:p>
      <w:pPr>
        <w:jc w:val="center"/>
        <w:rPr>
          <w:rFonts w:ascii="仿宋" w:hAnsi="仿宋" w:eastAsia="仿宋" w:cs="宋体"/>
          <w:color w:val="0D0D0D" w:themeColor="text1" w:themeTint="F2"/>
          <w14:textFill>
            <w14:solidFill>
              <w14:schemeClr w14:val="tx1">
                <w14:lumMod w14:val="95000"/>
                <w14:lumOff w14:val="5000"/>
              </w14:schemeClr>
            </w14:solidFill>
          </w14:textFill>
        </w:rPr>
      </w:pPr>
      <w:r>
        <w:rPr>
          <w:rFonts w:ascii="仿宋" w:hAnsi="仿宋" w:eastAsia="仿宋" w:cs="Arial"/>
          <w:color w:val="0D0D0D" w:themeColor="text1" w:themeTint="F2"/>
          <w:kern w:val="0"/>
          <w:szCs w:val="21"/>
          <w14:textFill>
            <w14:solidFill>
              <w14:schemeClr w14:val="tx1">
                <w14:lumMod w14:val="95000"/>
                <w14:lumOff w14:val="5000"/>
              </w14:schemeClr>
            </w14:solidFill>
          </w14:textFill>
        </w:rPr>
        <w:drawing>
          <wp:inline distT="0" distB="0" distL="0" distR="0">
            <wp:extent cx="3903980" cy="298958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03980" cy="2989580"/>
                    </a:xfrm>
                    <a:prstGeom prst="rect">
                      <a:avLst/>
                    </a:prstGeom>
                    <a:noFill/>
                    <a:ln>
                      <a:noFill/>
                    </a:ln>
                  </pic:spPr>
                </pic:pic>
              </a:graphicData>
            </a:graphic>
          </wp:inline>
        </w:drawing>
      </w:r>
    </w:p>
    <w:p>
      <w:pPr>
        <w:pStyle w:val="6"/>
        <w:spacing w:after="0" w:line="360" w:lineRule="auto"/>
        <w:ind w:firstLine="2319" w:firstLineChars="1100"/>
        <w:jc w:val="both"/>
        <w:rPr>
          <w:rFonts w:ascii="仿宋" w:hAnsi="仿宋" w:eastAsia="仿宋" w:cs="宋体"/>
          <w:i w:val="0"/>
          <w:iCs w:val="0"/>
          <w:color w:val="0D0D0D" w:themeColor="text1" w:themeTint="F2"/>
          <w:kern w:val="2"/>
          <w:sz w:val="21"/>
          <w:szCs w:val="21"/>
          <w14:textFill>
            <w14:solidFill>
              <w14:schemeClr w14:val="tx1">
                <w14:lumMod w14:val="95000"/>
                <w14:lumOff w14:val="5000"/>
              </w14:schemeClr>
            </w14:solidFill>
          </w14:textFill>
        </w:rPr>
      </w:pPr>
      <w:bookmarkStart w:id="13" w:name="_Toc530758549"/>
      <w:r>
        <w:rPr>
          <w:rFonts w:hint="eastAsia" w:ascii="仿宋" w:hAnsi="仿宋" w:eastAsia="仿宋" w:cs="宋体"/>
          <w:b/>
          <w:bCs/>
          <w:i w:val="0"/>
          <w:iCs w:val="0"/>
          <w:color w:val="0D0D0D" w:themeColor="text1" w:themeTint="F2"/>
          <w:kern w:val="2"/>
          <w:sz w:val="21"/>
          <w:szCs w:val="21"/>
          <w14:textFill>
            <w14:solidFill>
              <w14:schemeClr w14:val="tx1">
                <w14:lumMod w14:val="95000"/>
                <w14:lumOff w14:val="5000"/>
              </w14:schemeClr>
            </w14:solidFill>
          </w14:textFill>
        </w:rPr>
        <w:t>图3.8  各专业毕业生获得职业资格证书的比例</w:t>
      </w:r>
      <w:bookmarkEnd w:id="13"/>
    </w:p>
    <w:p>
      <w:pPr>
        <w:spacing w:line="360" w:lineRule="auto"/>
        <w:rPr>
          <w:rFonts w:ascii="仿宋" w:hAnsi="仿宋" w:eastAsia="仿宋" w:cs="Arial"/>
          <w:color w:val="0D0D0D" w:themeColor="text1" w:themeTint="F2"/>
          <w:kern w:val="0"/>
          <w:sz w:val="18"/>
          <w:szCs w:val="18"/>
          <w14:textFill>
            <w14:solidFill>
              <w14:schemeClr w14:val="tx1">
                <w14:lumMod w14:val="95000"/>
                <w14:lumOff w14:val="5000"/>
              </w14:schemeClr>
            </w14:solidFill>
          </w14:textFill>
        </w:rPr>
      </w:pPr>
      <w:r>
        <w:rPr>
          <w:rFonts w:hint="eastAsia" w:ascii="仿宋" w:hAnsi="仿宋" w:eastAsia="仿宋" w:cs="Arial"/>
          <w:color w:val="0D0D0D" w:themeColor="text1" w:themeTint="F2"/>
          <w:kern w:val="0"/>
          <w:sz w:val="18"/>
          <w:szCs w:val="18"/>
          <w14:textFill>
            <w14:solidFill>
              <w14:schemeClr w14:val="tx1">
                <w14:lumMod w14:val="95000"/>
                <w14:lumOff w14:val="5000"/>
              </w14:schemeClr>
            </w14:solidFill>
          </w14:textFill>
        </w:rPr>
        <w:t>数据来源：麦可思</w:t>
      </w:r>
      <w:r>
        <w:rPr>
          <w:rFonts w:ascii="仿宋" w:hAnsi="仿宋" w:eastAsia="仿宋" w:cs="Arial"/>
          <w:color w:val="0D0D0D" w:themeColor="text1" w:themeTint="F2"/>
          <w:kern w:val="0"/>
          <w:sz w:val="18"/>
          <w:szCs w:val="18"/>
          <w14:textFill>
            <w14:solidFill>
              <w14:schemeClr w14:val="tx1">
                <w14:lumMod w14:val="95000"/>
                <w14:lumOff w14:val="5000"/>
              </w14:schemeClr>
            </w14:solidFill>
          </w14:textFill>
        </w:rPr>
        <w:t>-</w:t>
      </w:r>
      <w:r>
        <w:rPr>
          <w:rFonts w:hint="eastAsia" w:ascii="仿宋" w:hAnsi="仿宋" w:eastAsia="仿宋" w:cs="Arial"/>
          <w:color w:val="0D0D0D" w:themeColor="text1" w:themeTint="F2"/>
          <w:kern w:val="0"/>
          <w:sz w:val="18"/>
          <w:szCs w:val="18"/>
          <w14:textFill>
            <w14:solidFill>
              <w14:schemeClr w14:val="tx1">
                <w14:lumMod w14:val="95000"/>
                <w14:lumOff w14:val="5000"/>
              </w14:schemeClr>
            </w14:solidFill>
          </w14:textFill>
        </w:rPr>
        <w:t>四川财经职业学院</w:t>
      </w:r>
      <w:r>
        <w:rPr>
          <w:rFonts w:ascii="仿宋" w:hAnsi="仿宋" w:eastAsia="仿宋" w:cs="Arial"/>
          <w:color w:val="0D0D0D" w:themeColor="text1" w:themeTint="F2"/>
          <w:kern w:val="0"/>
          <w:sz w:val="18"/>
          <w:szCs w:val="18"/>
          <w14:textFill>
            <w14:solidFill>
              <w14:schemeClr w14:val="tx1">
                <w14:lumMod w14:val="95000"/>
                <w14:lumOff w14:val="5000"/>
              </w14:schemeClr>
            </w14:solidFill>
          </w14:textFill>
        </w:rPr>
        <w:t>2018</w:t>
      </w:r>
      <w:r>
        <w:rPr>
          <w:rFonts w:hint="eastAsia" w:ascii="仿宋" w:hAnsi="仿宋" w:eastAsia="仿宋" w:cs="Arial"/>
          <w:color w:val="0D0D0D" w:themeColor="text1" w:themeTint="F2"/>
          <w:kern w:val="0"/>
          <w:sz w:val="18"/>
          <w:szCs w:val="18"/>
          <w14:textFill>
            <w14:solidFill>
              <w14:schemeClr w14:val="tx1">
                <w14:lumMod w14:val="95000"/>
                <w14:lumOff w14:val="5000"/>
              </w14:schemeClr>
            </w14:solidFill>
          </w14:textFill>
        </w:rPr>
        <w:t>届毕业生培养质量评价数据</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4" w:name="_Toc533491213"/>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（二）培养效果与第三方评价</w:t>
      </w:r>
      <w:bookmarkEnd w:id="14"/>
    </w:p>
    <w:p>
      <w:pPr>
        <w:spacing w:line="360" w:lineRule="auto"/>
        <w:ind w:firstLine="482" w:firstLineChars="200"/>
        <w:rPr>
          <w:rFonts w:ascii="仿宋" w:hAnsi="仿宋" w:eastAsia="仿宋" w:cs="黑体"/>
          <w:b/>
          <w:sz w:val="24"/>
        </w:rPr>
      </w:pPr>
      <w:r>
        <w:rPr>
          <w:rFonts w:hint="eastAsia" w:ascii="仿宋" w:hAnsi="仿宋" w:eastAsia="仿宋" w:cs="黑体"/>
          <w:b/>
          <w:sz w:val="24"/>
        </w:rPr>
        <w:t>1.学生就业状况</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cs="宋体"/>
          <w:sz w:val="24"/>
        </w:rPr>
        <w:t>2018</w:t>
      </w:r>
      <w:r>
        <w:rPr>
          <w:rFonts w:hint="eastAsia" w:ascii="仿宋" w:hAnsi="仿宋" w:eastAsia="仿宋" w:cs="宋体"/>
          <w:sz w:val="24"/>
        </w:rPr>
        <w:t>年，学院在健全就业工作机制、创新工作思路、强化服务理念和就业指导的规范化管理方面成效凸显。学院毕业生就业率保持在</w:t>
      </w:r>
      <w:r>
        <w:rPr>
          <w:rFonts w:ascii="仿宋" w:hAnsi="仿宋" w:eastAsia="仿宋" w:cs="宋体"/>
          <w:sz w:val="24"/>
        </w:rPr>
        <w:t>99%</w:t>
      </w:r>
      <w:r>
        <w:rPr>
          <w:rFonts w:hint="eastAsia" w:ascii="仿宋" w:hAnsi="仿宋" w:eastAsia="仿宋" w:cs="宋体"/>
          <w:sz w:val="24"/>
        </w:rPr>
        <w:t>以上，毕业生基层就业意识，服务地方经济上岗率和岗位工作能力逐年提升。</w:t>
      </w:r>
    </w:p>
    <w:p>
      <w:pPr>
        <w:spacing w:line="360" w:lineRule="auto"/>
        <w:ind w:firstLine="480" w:firstLineChars="200"/>
        <w:rPr>
          <w:rFonts w:ascii="仿宋" w:hAnsi="仿宋" w:eastAsia="仿宋"/>
          <w:sz w:val="24"/>
        </w:rPr>
      </w:pPr>
      <w:r>
        <w:rPr>
          <w:rFonts w:hint="eastAsia" w:ascii="仿宋" w:hAnsi="仿宋" w:eastAsia="仿宋" w:cs="宋体"/>
          <w:sz w:val="24"/>
        </w:rPr>
        <w:t>（1）毕业生规模</w:t>
      </w:r>
    </w:p>
    <w:p>
      <w:pPr>
        <w:spacing w:line="360" w:lineRule="auto"/>
        <w:ind w:firstLine="480" w:firstLineChars="200"/>
        <w:rPr>
          <w:rFonts w:ascii="仿宋" w:hAnsi="仿宋" w:eastAsia="仿宋" w:cs="Calibri"/>
          <w:kern w:val="0"/>
          <w:sz w:val="24"/>
        </w:rPr>
      </w:pPr>
      <w:r>
        <w:rPr>
          <w:rFonts w:hint="eastAsia" w:ascii="仿宋" w:hAnsi="仿宋" w:eastAsia="仿宋" w:cs="宋体"/>
          <w:kern w:val="0"/>
          <w:sz w:val="24"/>
        </w:rPr>
        <w:t>四川财经职业学院</w:t>
      </w:r>
      <w:r>
        <w:rPr>
          <w:rFonts w:ascii="仿宋" w:hAnsi="仿宋" w:eastAsia="仿宋" w:cs="Calibri"/>
          <w:kern w:val="0"/>
          <w:sz w:val="24"/>
        </w:rPr>
        <w:t>2018</w:t>
      </w:r>
      <w:r>
        <w:rPr>
          <w:rFonts w:hint="eastAsia" w:ascii="仿宋" w:hAnsi="仿宋" w:eastAsia="仿宋" w:cs="宋体"/>
          <w:kern w:val="0"/>
          <w:sz w:val="24"/>
        </w:rPr>
        <w:t>届总毕业生人数为</w:t>
      </w:r>
      <w:r>
        <w:rPr>
          <w:rFonts w:ascii="仿宋" w:hAnsi="仿宋" w:eastAsia="仿宋" w:cs="Calibri"/>
          <w:kern w:val="0"/>
          <w:sz w:val="24"/>
        </w:rPr>
        <w:t>1982</w:t>
      </w:r>
      <w:r>
        <w:rPr>
          <w:rFonts w:hint="eastAsia" w:ascii="仿宋" w:hAnsi="仿宋" w:eastAsia="仿宋" w:cs="宋体"/>
          <w:kern w:val="0"/>
          <w:sz w:val="24"/>
        </w:rPr>
        <w:t>人，其中女生占</w:t>
      </w:r>
      <w:r>
        <w:rPr>
          <w:rFonts w:ascii="仿宋" w:hAnsi="仿宋" w:eastAsia="仿宋" w:cs="Calibri"/>
          <w:kern w:val="0"/>
          <w:sz w:val="24"/>
        </w:rPr>
        <w:t>82.3%</w:t>
      </w:r>
      <w:r>
        <w:rPr>
          <w:rFonts w:hint="eastAsia" w:ascii="仿宋" w:hAnsi="仿宋" w:eastAsia="仿宋" w:cs="宋体"/>
          <w:kern w:val="0"/>
          <w:sz w:val="24"/>
        </w:rPr>
        <w:t>，男生占</w:t>
      </w:r>
      <w:r>
        <w:rPr>
          <w:rFonts w:ascii="仿宋" w:hAnsi="仿宋" w:eastAsia="仿宋" w:cs="Calibri"/>
          <w:kern w:val="0"/>
          <w:sz w:val="24"/>
        </w:rPr>
        <w:t>17.7%</w:t>
      </w:r>
      <w:r>
        <w:rPr>
          <w:rFonts w:hint="eastAsia" w:ascii="仿宋" w:hAnsi="仿宋" w:eastAsia="仿宋" w:cs="宋体"/>
          <w:kern w:val="0"/>
          <w:sz w:val="24"/>
        </w:rPr>
        <w:t>，有</w:t>
      </w:r>
      <w:r>
        <w:rPr>
          <w:rFonts w:ascii="仿宋" w:hAnsi="仿宋" w:eastAsia="仿宋" w:cs="Calibri"/>
          <w:kern w:val="0"/>
          <w:sz w:val="24"/>
        </w:rPr>
        <w:t>96.9%</w:t>
      </w:r>
      <w:r>
        <w:rPr>
          <w:rFonts w:hint="eastAsia" w:ascii="仿宋" w:hAnsi="仿宋" w:eastAsia="仿宋" w:cs="宋体"/>
          <w:kern w:val="0"/>
          <w:sz w:val="24"/>
        </w:rPr>
        <w:t>的毕业生为四川省生源。</w:t>
      </w:r>
    </w:p>
    <w:p>
      <w:pPr>
        <w:spacing w:line="360" w:lineRule="auto"/>
        <w:ind w:firstLine="480" w:firstLineChars="200"/>
        <w:rPr>
          <w:rFonts w:ascii="仿宋" w:hAnsi="仿宋" w:eastAsia="仿宋"/>
          <w:sz w:val="24"/>
        </w:rPr>
      </w:pPr>
      <w:r>
        <w:rPr>
          <w:rFonts w:hint="eastAsia" w:ascii="仿宋" w:hAnsi="仿宋" w:eastAsia="仿宋" w:cs="宋体"/>
          <w:sz w:val="24"/>
        </w:rPr>
        <w:t>（2）毕业生就业率及毕业生流向</w:t>
      </w:r>
    </w:p>
    <w:p>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①毕业生就业率</w:t>
      </w:r>
    </w:p>
    <w:p>
      <w:pPr>
        <w:spacing w:line="360" w:lineRule="auto"/>
        <w:ind w:firstLine="420"/>
        <w:rPr>
          <w:rFonts w:ascii="仿宋" w:hAnsi="仿宋" w:eastAsia="仿宋"/>
          <w:sz w:val="24"/>
        </w:rPr>
      </w:pPr>
      <w:r>
        <w:rPr>
          <w:rFonts w:hint="eastAsia" w:ascii="仿宋" w:hAnsi="仿宋" w:eastAsia="仿宋" w:cs="宋体"/>
          <w:sz w:val="24"/>
        </w:rPr>
        <w:t>学院截止</w:t>
      </w:r>
      <w:r>
        <w:rPr>
          <w:rFonts w:ascii="仿宋" w:hAnsi="仿宋" w:eastAsia="仿宋"/>
          <w:sz w:val="24"/>
        </w:rPr>
        <w:t>2018</w:t>
      </w:r>
      <w:r>
        <w:rPr>
          <w:rFonts w:hint="eastAsia" w:ascii="仿宋" w:hAnsi="仿宋" w:eastAsia="仿宋" w:cs="宋体"/>
          <w:sz w:val="24"/>
        </w:rPr>
        <w:t>年</w:t>
      </w:r>
      <w:r>
        <w:rPr>
          <w:rFonts w:ascii="仿宋" w:hAnsi="仿宋" w:eastAsia="仿宋"/>
          <w:sz w:val="24"/>
        </w:rPr>
        <w:t>6</w:t>
      </w:r>
      <w:r>
        <w:rPr>
          <w:rFonts w:hint="eastAsia" w:ascii="仿宋" w:hAnsi="仿宋" w:eastAsia="仿宋" w:cs="宋体"/>
          <w:sz w:val="24"/>
        </w:rPr>
        <w:t>月</w:t>
      </w:r>
      <w:r>
        <w:rPr>
          <w:rFonts w:ascii="仿宋" w:hAnsi="仿宋" w:eastAsia="仿宋"/>
          <w:sz w:val="24"/>
        </w:rPr>
        <w:t>30</w:t>
      </w:r>
      <w:r>
        <w:rPr>
          <w:rFonts w:hint="eastAsia" w:ascii="仿宋" w:hAnsi="仿宋" w:eastAsia="仿宋" w:cs="宋体"/>
          <w:sz w:val="24"/>
        </w:rPr>
        <w:t>日，学院</w:t>
      </w:r>
      <w:r>
        <w:rPr>
          <w:rFonts w:ascii="仿宋" w:hAnsi="仿宋" w:eastAsia="仿宋"/>
          <w:sz w:val="24"/>
        </w:rPr>
        <w:t>2018</w:t>
      </w:r>
      <w:r>
        <w:rPr>
          <w:rFonts w:hint="eastAsia" w:ascii="仿宋" w:hAnsi="仿宋" w:eastAsia="仿宋" w:cs="宋体"/>
          <w:sz w:val="24"/>
        </w:rPr>
        <w:t>届毕业生初次就业率为</w:t>
      </w:r>
      <w:r>
        <w:rPr>
          <w:rFonts w:ascii="仿宋" w:hAnsi="仿宋" w:eastAsia="仿宋"/>
          <w:sz w:val="24"/>
        </w:rPr>
        <w:t>99.55%</w:t>
      </w:r>
      <w:r>
        <w:rPr>
          <w:rFonts w:hint="eastAsia" w:ascii="仿宋" w:hAnsi="仿宋" w:eastAsia="仿宋" w:cs="宋体"/>
          <w:sz w:val="24"/>
        </w:rPr>
        <w:t>。</w:t>
      </w:r>
      <w:r>
        <w:rPr>
          <w:rFonts w:hint="eastAsia" w:ascii="仿宋" w:hAnsi="仿宋" w:eastAsia="仿宋" w:cs="宋体"/>
          <w:kern w:val="0"/>
          <w:sz w:val="24"/>
        </w:rPr>
        <w:t>截至</w:t>
      </w:r>
      <w:r>
        <w:rPr>
          <w:rFonts w:ascii="仿宋" w:hAnsi="仿宋" w:eastAsia="仿宋"/>
          <w:kern w:val="0"/>
          <w:sz w:val="24"/>
        </w:rPr>
        <w:t>2018</w:t>
      </w:r>
      <w:r>
        <w:rPr>
          <w:rFonts w:hint="eastAsia" w:ascii="仿宋" w:hAnsi="仿宋" w:eastAsia="仿宋" w:cs="宋体"/>
          <w:kern w:val="0"/>
          <w:sz w:val="24"/>
        </w:rPr>
        <w:t>年</w:t>
      </w:r>
      <w:r>
        <w:rPr>
          <w:rFonts w:ascii="仿宋" w:hAnsi="仿宋" w:eastAsia="仿宋"/>
          <w:kern w:val="0"/>
          <w:sz w:val="24"/>
        </w:rPr>
        <w:t>11</w:t>
      </w:r>
      <w:r>
        <w:rPr>
          <w:rFonts w:hint="eastAsia" w:ascii="仿宋" w:hAnsi="仿宋" w:eastAsia="仿宋" w:cs="宋体"/>
          <w:kern w:val="0"/>
          <w:sz w:val="24"/>
        </w:rPr>
        <w:t>月</w:t>
      </w:r>
      <w:r>
        <w:rPr>
          <w:rFonts w:ascii="仿宋" w:hAnsi="仿宋" w:eastAsia="仿宋"/>
          <w:kern w:val="0"/>
          <w:sz w:val="24"/>
        </w:rPr>
        <w:t>2</w:t>
      </w:r>
      <w:r>
        <w:rPr>
          <w:rFonts w:hint="eastAsia" w:ascii="仿宋" w:hAnsi="仿宋" w:eastAsia="仿宋" w:cs="宋体"/>
          <w:kern w:val="0"/>
          <w:sz w:val="24"/>
        </w:rPr>
        <w:t>日，学院</w:t>
      </w:r>
      <w:r>
        <w:rPr>
          <w:rFonts w:ascii="仿宋" w:hAnsi="仿宋" w:eastAsia="仿宋"/>
          <w:kern w:val="0"/>
          <w:sz w:val="24"/>
        </w:rPr>
        <w:t>2018</w:t>
      </w:r>
      <w:r>
        <w:rPr>
          <w:rFonts w:hint="eastAsia" w:ascii="仿宋" w:hAnsi="仿宋" w:eastAsia="仿宋" w:cs="宋体"/>
          <w:kern w:val="0"/>
          <w:sz w:val="24"/>
        </w:rPr>
        <w:t>届毕业生的就业率为</w:t>
      </w:r>
      <w:r>
        <w:rPr>
          <w:rFonts w:ascii="仿宋" w:hAnsi="仿宋" w:eastAsia="仿宋"/>
          <w:sz w:val="24"/>
        </w:rPr>
        <w:t>91.5%</w:t>
      </w:r>
      <w:r>
        <w:rPr>
          <w:rFonts w:hint="eastAsia" w:ascii="仿宋" w:hAnsi="仿宋" w:eastAsia="仿宋" w:cs="宋体"/>
          <w:sz w:val="24"/>
        </w:rPr>
        <w:t>。</w:t>
      </w:r>
      <w:r>
        <w:rPr>
          <w:rFonts w:ascii="仿宋" w:hAnsi="仿宋" w:eastAsia="仿宋"/>
          <w:sz w:val="24"/>
        </w:rPr>
        <w:t>2018</w:t>
      </w:r>
      <w:r>
        <w:rPr>
          <w:rFonts w:hint="eastAsia" w:ascii="仿宋" w:hAnsi="仿宋" w:eastAsia="仿宋" w:cs="宋体"/>
          <w:sz w:val="24"/>
        </w:rPr>
        <w:t>届就业率较高的专业是</w:t>
      </w:r>
      <w:r>
        <w:rPr>
          <w:rFonts w:hint="eastAsia" w:ascii="仿宋" w:hAnsi="仿宋" w:eastAsia="仿宋" w:cs="宋体"/>
          <w:kern w:val="0"/>
          <w:sz w:val="24"/>
        </w:rPr>
        <w:t>会计（中澳）（</w:t>
      </w:r>
      <w:r>
        <w:rPr>
          <w:rFonts w:ascii="仿宋" w:hAnsi="仿宋" w:eastAsia="仿宋"/>
          <w:kern w:val="0"/>
          <w:sz w:val="24"/>
        </w:rPr>
        <w:t>100%</w:t>
      </w:r>
      <w:r>
        <w:rPr>
          <w:rFonts w:hint="eastAsia" w:ascii="仿宋" w:hAnsi="仿宋" w:eastAsia="仿宋" w:cs="宋体"/>
          <w:kern w:val="0"/>
          <w:sz w:val="24"/>
        </w:rPr>
        <w:t>）、电子商务（</w:t>
      </w:r>
      <w:r>
        <w:rPr>
          <w:rFonts w:ascii="仿宋" w:hAnsi="仿宋" w:eastAsia="仿宋"/>
          <w:kern w:val="0"/>
          <w:sz w:val="24"/>
        </w:rPr>
        <w:t>96%</w:t>
      </w:r>
      <w:r>
        <w:rPr>
          <w:rFonts w:hint="eastAsia" w:ascii="仿宋" w:hAnsi="仿宋" w:eastAsia="仿宋" w:cs="宋体"/>
          <w:kern w:val="0"/>
          <w:sz w:val="24"/>
        </w:rPr>
        <w:t>）、会计（</w:t>
      </w:r>
      <w:r>
        <w:rPr>
          <w:rFonts w:ascii="仿宋" w:hAnsi="仿宋" w:eastAsia="仿宋"/>
          <w:kern w:val="0"/>
          <w:sz w:val="24"/>
        </w:rPr>
        <w:t>1</w:t>
      </w:r>
      <w:r>
        <w:rPr>
          <w:rFonts w:hint="eastAsia" w:ascii="仿宋" w:hAnsi="仿宋" w:eastAsia="仿宋" w:cs="宋体"/>
          <w:kern w:val="0"/>
          <w:sz w:val="24"/>
        </w:rPr>
        <w:t>＋</w:t>
      </w:r>
      <w:r>
        <w:rPr>
          <w:rFonts w:ascii="仿宋" w:hAnsi="仿宋" w:eastAsia="仿宋"/>
          <w:kern w:val="0"/>
          <w:sz w:val="24"/>
        </w:rPr>
        <w:t>2</w:t>
      </w:r>
      <w:r>
        <w:rPr>
          <w:rFonts w:hint="eastAsia" w:ascii="仿宋" w:hAnsi="仿宋" w:eastAsia="仿宋" w:cs="宋体"/>
          <w:kern w:val="0"/>
          <w:sz w:val="24"/>
        </w:rPr>
        <w:t>）（</w:t>
      </w:r>
      <w:r>
        <w:rPr>
          <w:rFonts w:ascii="仿宋" w:hAnsi="仿宋" w:eastAsia="仿宋"/>
          <w:kern w:val="0"/>
          <w:sz w:val="24"/>
        </w:rPr>
        <w:t>96%</w:t>
      </w:r>
      <w:r>
        <w:rPr>
          <w:rFonts w:hint="eastAsia" w:ascii="仿宋" w:hAnsi="仿宋" w:eastAsia="仿宋" w:cs="宋体"/>
          <w:kern w:val="0"/>
          <w:sz w:val="24"/>
        </w:rPr>
        <w:t>）</w:t>
      </w:r>
      <w:r>
        <w:rPr>
          <w:rFonts w:hint="eastAsia" w:ascii="仿宋" w:hAnsi="仿宋" w:eastAsia="仿宋" w:cs="宋体"/>
          <w:sz w:val="24"/>
        </w:rPr>
        <w:t>，就业率较低的专业是</w:t>
      </w:r>
      <w:r>
        <w:rPr>
          <w:rFonts w:hint="eastAsia" w:ascii="仿宋" w:hAnsi="仿宋" w:eastAsia="仿宋" w:cs="宋体"/>
          <w:kern w:val="0"/>
          <w:sz w:val="24"/>
        </w:rPr>
        <w:t>审计实务（</w:t>
      </w:r>
      <w:r>
        <w:rPr>
          <w:rFonts w:ascii="仿宋" w:hAnsi="仿宋" w:eastAsia="仿宋"/>
          <w:kern w:val="0"/>
          <w:sz w:val="24"/>
        </w:rPr>
        <w:t>86%</w:t>
      </w:r>
      <w:r>
        <w:rPr>
          <w:rFonts w:hint="eastAsia" w:ascii="仿宋" w:hAnsi="仿宋" w:eastAsia="仿宋" w:cs="宋体"/>
          <w:kern w:val="0"/>
          <w:sz w:val="24"/>
        </w:rPr>
        <w:t>）、税务（</w:t>
      </w:r>
      <w:r>
        <w:rPr>
          <w:rFonts w:ascii="仿宋" w:hAnsi="仿宋" w:eastAsia="仿宋"/>
          <w:kern w:val="0"/>
          <w:sz w:val="24"/>
        </w:rPr>
        <w:t>88%</w:t>
      </w:r>
      <w:r>
        <w:rPr>
          <w:rFonts w:hint="eastAsia" w:ascii="仿宋" w:hAnsi="仿宋" w:eastAsia="仿宋" w:cs="宋体"/>
          <w:kern w:val="0"/>
          <w:sz w:val="24"/>
        </w:rPr>
        <w:t>）、金融管理与实务（</w:t>
      </w:r>
      <w:r>
        <w:rPr>
          <w:rFonts w:ascii="仿宋" w:hAnsi="仿宋" w:eastAsia="仿宋"/>
          <w:kern w:val="0"/>
          <w:sz w:val="24"/>
        </w:rPr>
        <w:t>89%</w:t>
      </w:r>
      <w:r>
        <w:rPr>
          <w:rFonts w:hint="eastAsia" w:ascii="仿宋" w:hAnsi="仿宋" w:eastAsia="仿宋" w:cs="宋体"/>
          <w:kern w:val="0"/>
          <w:sz w:val="24"/>
        </w:rPr>
        <w:t>）</w:t>
      </w:r>
      <w:r>
        <w:rPr>
          <w:rFonts w:hint="eastAsia" w:ascii="仿宋" w:hAnsi="仿宋" w:eastAsia="仿宋" w:cs="宋体"/>
          <w:sz w:val="24"/>
        </w:rPr>
        <w:t>。</w:t>
      </w:r>
    </w:p>
    <w:p>
      <w:pPr>
        <w:spacing w:line="360" w:lineRule="auto"/>
        <w:jc w:val="center"/>
        <w:rPr>
          <w:rFonts w:ascii="仿宋" w:hAnsi="仿宋" w:eastAsia="仿宋"/>
          <w:sz w:val="24"/>
        </w:rPr>
      </w:pPr>
      <w:r>
        <w:rPr>
          <w:rFonts w:ascii="仿宋" w:hAnsi="仿宋" w:eastAsia="仿宋"/>
          <w:sz w:val="24"/>
        </w:rPr>
        <w:drawing>
          <wp:inline distT="0" distB="0" distL="0" distR="0">
            <wp:extent cx="4149725" cy="37185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50532" cy="3719387"/>
                    </a:xfrm>
                    <a:prstGeom prst="rect">
                      <a:avLst/>
                    </a:prstGeom>
                    <a:noFill/>
                    <a:ln>
                      <a:noFill/>
                    </a:ln>
                  </pic:spPr>
                </pic:pic>
              </a:graphicData>
            </a:graphic>
          </wp:inline>
        </w:drawing>
      </w:r>
    </w:p>
    <w:p>
      <w:pPr>
        <w:spacing w:line="360" w:lineRule="auto"/>
        <w:jc w:val="center"/>
        <w:rPr>
          <w:rFonts w:ascii="仿宋" w:hAnsi="仿宋" w:eastAsia="仿宋" w:cs="宋体"/>
          <w:b/>
          <w:szCs w:val="21"/>
        </w:rPr>
      </w:pPr>
      <w:r>
        <w:rPr>
          <w:rFonts w:hint="eastAsia" w:ascii="仿宋" w:hAnsi="仿宋" w:eastAsia="仿宋" w:cs="宋体"/>
          <w:b/>
          <w:szCs w:val="21"/>
        </w:rPr>
        <w:t>图3.9  各专业毕业生的就业率</w:t>
      </w:r>
    </w:p>
    <w:p>
      <w:pPr>
        <w:spacing w:line="360" w:lineRule="auto"/>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420"/>
        <w:rPr>
          <w:rFonts w:ascii="仿宋" w:hAnsi="仿宋" w:eastAsia="仿宋" w:cs="黑体"/>
          <w:sz w:val="24"/>
        </w:rPr>
      </w:pPr>
      <w:r>
        <w:rPr>
          <w:rFonts w:hint="eastAsia" w:ascii="仿宋" w:hAnsi="仿宋" w:eastAsia="仿宋" w:cs="黑体"/>
          <w:sz w:val="24"/>
        </w:rPr>
        <w:t>②毕业生去向</w:t>
      </w:r>
    </w:p>
    <w:p>
      <w:pPr>
        <w:spacing w:line="360" w:lineRule="auto"/>
        <w:ind w:firstLine="420"/>
        <w:rPr>
          <w:rFonts w:ascii="仿宋" w:hAnsi="仿宋" w:eastAsia="仿宋"/>
          <w:sz w:val="24"/>
        </w:rPr>
      </w:pPr>
      <w:r>
        <w:rPr>
          <w:rFonts w:hint="eastAsia" w:ascii="仿宋" w:hAnsi="仿宋" w:eastAsia="仿宋" w:cs="宋体"/>
          <w:sz w:val="24"/>
        </w:rPr>
        <w:t>学院</w:t>
      </w:r>
      <w:r>
        <w:rPr>
          <w:rFonts w:ascii="仿宋" w:hAnsi="仿宋" w:eastAsia="仿宋"/>
          <w:sz w:val="24"/>
        </w:rPr>
        <w:t>2018</w:t>
      </w:r>
      <w:r>
        <w:rPr>
          <w:rFonts w:hint="eastAsia" w:ascii="仿宋" w:hAnsi="仿宋" w:eastAsia="仿宋" w:cs="宋体"/>
          <w:sz w:val="24"/>
        </w:rPr>
        <w:t>届毕业生最主要的去向是“受雇全职工作”（</w:t>
      </w:r>
      <w:r>
        <w:rPr>
          <w:rFonts w:ascii="仿宋" w:hAnsi="仿宋" w:eastAsia="仿宋"/>
          <w:sz w:val="24"/>
        </w:rPr>
        <w:t>80.7%</w:t>
      </w:r>
      <w:r>
        <w:rPr>
          <w:rFonts w:hint="eastAsia" w:ascii="仿宋" w:hAnsi="仿宋" w:eastAsia="仿宋" w:cs="宋体"/>
          <w:sz w:val="24"/>
        </w:rPr>
        <w:t>）。</w:t>
      </w:r>
    </w:p>
    <w:p>
      <w:pPr>
        <w:spacing w:line="360" w:lineRule="auto"/>
        <w:jc w:val="center"/>
        <w:rPr>
          <w:rFonts w:ascii="仿宋" w:hAnsi="仿宋" w:eastAsia="仿宋"/>
          <w:b/>
          <w:bCs/>
          <w:szCs w:val="21"/>
        </w:rPr>
      </w:pPr>
      <w:bookmarkStart w:id="15" w:name="就业去向_单届"/>
      <w:bookmarkEnd w:id="15"/>
      <w:r>
        <w:rPr>
          <w:rFonts w:ascii="仿宋" w:hAnsi="仿宋" w:eastAsia="仿宋"/>
          <w:sz w:val="24"/>
        </w:rPr>
        <w:drawing>
          <wp:inline distT="0" distB="0" distL="0" distR="0">
            <wp:extent cx="5208270" cy="25126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08270" cy="2512695"/>
                    </a:xfrm>
                    <a:prstGeom prst="rect">
                      <a:avLst/>
                    </a:prstGeom>
                    <a:noFill/>
                    <a:ln>
                      <a:noFill/>
                    </a:ln>
                  </pic:spPr>
                </pic:pic>
              </a:graphicData>
            </a:graphic>
          </wp:inline>
        </w:drawing>
      </w:r>
      <w:bookmarkStart w:id="16" w:name="_Toc286308739"/>
      <w:bookmarkStart w:id="17" w:name="_Toc286308928"/>
      <w:bookmarkStart w:id="18" w:name="_Toc286309607"/>
      <w:bookmarkStart w:id="19" w:name="_Toc306700580"/>
      <w:bookmarkStart w:id="20" w:name="_Toc361229863"/>
      <w:bookmarkStart w:id="21" w:name="_Toc436646116"/>
      <w:bookmarkStart w:id="22" w:name="_Toc530758526"/>
      <w:r>
        <w:rPr>
          <w:rFonts w:hint="eastAsia" w:ascii="仿宋" w:hAnsi="仿宋" w:eastAsia="仿宋" w:cs="宋体"/>
          <w:b/>
          <w:bCs/>
          <w:szCs w:val="21"/>
        </w:rPr>
        <w:t>图</w:t>
      </w:r>
      <w:r>
        <w:rPr>
          <w:rFonts w:hint="eastAsia" w:ascii="仿宋" w:hAnsi="仿宋" w:eastAsia="仿宋"/>
          <w:b/>
          <w:bCs/>
          <w:szCs w:val="21"/>
        </w:rPr>
        <w:t xml:space="preserve">3.10  </w:t>
      </w:r>
      <w:r>
        <w:rPr>
          <w:rFonts w:hint="eastAsia" w:ascii="仿宋" w:hAnsi="仿宋" w:eastAsia="仿宋" w:cs="宋体"/>
          <w:b/>
          <w:bCs/>
          <w:szCs w:val="21"/>
        </w:rPr>
        <w:t>毕业去向分布</w:t>
      </w:r>
      <w:bookmarkEnd w:id="16"/>
      <w:bookmarkEnd w:id="17"/>
      <w:bookmarkEnd w:id="18"/>
      <w:bookmarkEnd w:id="19"/>
      <w:bookmarkEnd w:id="20"/>
      <w:bookmarkEnd w:id="21"/>
      <w:bookmarkEnd w:id="22"/>
    </w:p>
    <w:p>
      <w:pPr>
        <w:spacing w:line="360" w:lineRule="auto"/>
        <w:rPr>
          <w:rFonts w:ascii="仿宋" w:hAnsi="仿宋" w:eastAsia="仿宋"/>
          <w:sz w:val="18"/>
          <w:szCs w:val="18"/>
        </w:rPr>
      </w:pPr>
      <w:r>
        <w:rPr>
          <w:rFonts w:hint="eastAsia" w:ascii="仿宋" w:hAnsi="仿宋" w:eastAsia="仿宋" w:cs="宋体"/>
          <w:sz w:val="18"/>
          <w:szCs w:val="18"/>
        </w:rPr>
        <w:t>注：图中数据均保留一位小数，由于四舍五入，相加可能不等于</w:t>
      </w:r>
      <w:r>
        <w:rPr>
          <w:rFonts w:ascii="仿宋" w:hAnsi="仿宋" w:eastAsia="仿宋"/>
          <w:sz w:val="18"/>
          <w:szCs w:val="18"/>
        </w:rPr>
        <w:t>100%</w:t>
      </w:r>
    </w:p>
    <w:p>
      <w:pPr>
        <w:spacing w:line="360" w:lineRule="auto"/>
        <w:jc w:val="left"/>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352" w:firstLineChars="147"/>
        <w:jc w:val="left"/>
        <w:rPr>
          <w:rFonts w:ascii="仿宋" w:hAnsi="仿宋" w:eastAsia="仿宋" w:cs="黑体"/>
          <w:kern w:val="0"/>
          <w:sz w:val="24"/>
        </w:rPr>
      </w:pPr>
      <w:r>
        <w:rPr>
          <w:rFonts w:hint="eastAsia" w:ascii="仿宋" w:hAnsi="仿宋" w:eastAsia="仿宋" w:cs="黑体"/>
          <w:kern w:val="0"/>
          <w:sz w:val="24"/>
        </w:rPr>
        <w:t>③毕业流向</w:t>
      </w:r>
    </w:p>
    <w:p>
      <w:pPr>
        <w:spacing w:line="360" w:lineRule="auto"/>
        <w:ind w:firstLine="480" w:firstLineChars="200"/>
        <w:rPr>
          <w:rFonts w:ascii="仿宋" w:hAnsi="仿宋" w:eastAsia="仿宋" w:cs="黑体"/>
          <w:kern w:val="0"/>
          <w:sz w:val="24"/>
        </w:rPr>
      </w:pPr>
      <w:r>
        <w:rPr>
          <w:rFonts w:hint="eastAsia" w:ascii="宋体" w:hAnsi="宋体" w:cs="黑体"/>
          <w:kern w:val="0"/>
          <w:sz w:val="24"/>
        </w:rPr>
        <w:t>Ⅰ</w:t>
      </w:r>
      <w:r>
        <w:rPr>
          <w:rFonts w:hint="eastAsia" w:ascii="仿宋" w:hAnsi="仿宋" w:eastAsia="仿宋" w:cs="黑体"/>
          <w:kern w:val="0"/>
          <w:sz w:val="24"/>
        </w:rPr>
        <w:t>毕业生的职业流向</w:t>
      </w:r>
    </w:p>
    <w:p>
      <w:pPr>
        <w:spacing w:line="360" w:lineRule="auto"/>
        <w:ind w:firstLine="360" w:firstLineChars="150"/>
        <w:jc w:val="left"/>
        <w:rPr>
          <w:rFonts w:ascii="仿宋" w:hAnsi="仿宋" w:eastAsia="仿宋"/>
          <w:b/>
          <w:bCs/>
          <w:kern w:val="0"/>
          <w:sz w:val="24"/>
        </w:rPr>
      </w:pPr>
      <w:r>
        <w:rPr>
          <w:rFonts w:hint="eastAsia" w:ascii="仿宋" w:hAnsi="仿宋" w:eastAsia="仿宋" w:cs="宋体"/>
          <w:kern w:val="0"/>
          <w:sz w:val="24"/>
        </w:rPr>
        <w:t>学院</w:t>
      </w:r>
      <w:r>
        <w:rPr>
          <w:rFonts w:ascii="仿宋" w:hAnsi="仿宋" w:eastAsia="仿宋" w:cs="Calibri"/>
          <w:kern w:val="0"/>
          <w:sz w:val="24"/>
        </w:rPr>
        <w:t>2018</w:t>
      </w:r>
      <w:r>
        <w:rPr>
          <w:rFonts w:hint="eastAsia" w:ascii="仿宋" w:hAnsi="仿宋" w:eastAsia="仿宋" w:cs="宋体"/>
          <w:kern w:val="0"/>
          <w:sz w:val="24"/>
        </w:rPr>
        <w:t>届毕业生从事的主要职业类如下表所示。学院</w:t>
      </w:r>
      <w:r>
        <w:rPr>
          <w:rFonts w:ascii="仿宋" w:hAnsi="仿宋" w:eastAsia="仿宋" w:cs="Calibri"/>
          <w:kern w:val="0"/>
          <w:sz w:val="24"/>
        </w:rPr>
        <w:t>2018</w:t>
      </w:r>
      <w:r>
        <w:rPr>
          <w:rFonts w:hint="eastAsia" w:ascii="仿宋" w:hAnsi="仿宋" w:eastAsia="仿宋" w:cs="宋体"/>
          <w:kern w:val="0"/>
          <w:sz w:val="24"/>
        </w:rPr>
        <w:t>届毕业生就业量较大的职业类为财务</w:t>
      </w:r>
      <w:r>
        <w:rPr>
          <w:rFonts w:ascii="仿宋" w:hAnsi="仿宋" w:eastAsia="仿宋" w:cs="Calibri"/>
          <w:kern w:val="0"/>
          <w:sz w:val="24"/>
        </w:rPr>
        <w:t>/</w:t>
      </w:r>
      <w:r>
        <w:rPr>
          <w:rFonts w:hint="eastAsia" w:ascii="仿宋" w:hAnsi="仿宋" w:eastAsia="仿宋" w:cs="宋体"/>
          <w:kern w:val="0"/>
          <w:sz w:val="24"/>
        </w:rPr>
        <w:t>审计</w:t>
      </w:r>
      <w:r>
        <w:rPr>
          <w:rFonts w:ascii="仿宋" w:hAnsi="仿宋" w:eastAsia="仿宋" w:cs="Calibri"/>
          <w:kern w:val="0"/>
          <w:sz w:val="24"/>
        </w:rPr>
        <w:t>/</w:t>
      </w:r>
      <w:r>
        <w:rPr>
          <w:rFonts w:hint="eastAsia" w:ascii="仿宋" w:hAnsi="仿宋" w:eastAsia="仿宋" w:cs="宋体"/>
          <w:kern w:val="0"/>
          <w:sz w:val="24"/>
        </w:rPr>
        <w:t>税务</w:t>
      </w:r>
      <w:r>
        <w:rPr>
          <w:rFonts w:ascii="仿宋" w:hAnsi="仿宋" w:eastAsia="仿宋" w:cs="Calibri"/>
          <w:kern w:val="0"/>
          <w:sz w:val="24"/>
        </w:rPr>
        <w:t>/</w:t>
      </w:r>
      <w:r>
        <w:rPr>
          <w:rFonts w:hint="eastAsia" w:ascii="仿宋" w:hAnsi="仿宋" w:eastAsia="仿宋" w:cs="宋体"/>
          <w:kern w:val="0"/>
          <w:sz w:val="24"/>
        </w:rPr>
        <w:t>统计（</w:t>
      </w:r>
      <w:r>
        <w:rPr>
          <w:rFonts w:ascii="仿宋" w:hAnsi="仿宋" w:eastAsia="仿宋" w:cs="Calibri"/>
          <w:kern w:val="0"/>
          <w:sz w:val="24"/>
        </w:rPr>
        <w:t>43.9%</w:t>
      </w:r>
      <w:r>
        <w:rPr>
          <w:rFonts w:hint="eastAsia" w:ascii="仿宋" w:hAnsi="仿宋" w:eastAsia="仿宋" w:cs="宋体"/>
          <w:kern w:val="0"/>
          <w:sz w:val="24"/>
        </w:rPr>
        <w:t>）。</w:t>
      </w:r>
    </w:p>
    <w:p>
      <w:pPr>
        <w:spacing w:line="360" w:lineRule="auto"/>
        <w:jc w:val="center"/>
        <w:rPr>
          <w:rFonts w:ascii="仿宋" w:hAnsi="仿宋" w:eastAsia="仿宋" w:cs="Calibri"/>
          <w:kern w:val="0"/>
          <w:szCs w:val="21"/>
        </w:rPr>
      </w:pPr>
      <w:bookmarkStart w:id="23" w:name="_Toc530758530"/>
      <w:r>
        <w:rPr>
          <w:rFonts w:hint="eastAsia" w:ascii="仿宋" w:hAnsi="仿宋" w:eastAsia="仿宋" w:cs="宋体"/>
          <w:b/>
          <w:bCs/>
          <w:szCs w:val="21"/>
        </w:rPr>
        <w:t>表3.6  毕业生从事的主要职业类</w:t>
      </w:r>
      <w:bookmarkEnd w:id="23"/>
    </w:p>
    <w:tbl>
      <w:tblPr>
        <w:tblStyle w:val="19"/>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trPr>
        <w:tc>
          <w:tcPr>
            <w:tcW w:w="4261" w:type="dxa"/>
            <w:shd w:val="clear" w:color="auto" w:fill="auto"/>
            <w:vAlign w:val="center"/>
          </w:tcPr>
          <w:p>
            <w:pPr>
              <w:widowControl/>
              <w:jc w:val="center"/>
              <w:rPr>
                <w:rFonts w:ascii="仿宋" w:hAnsi="仿宋" w:eastAsia="仿宋"/>
                <w:b/>
                <w:bCs/>
                <w:color w:val="000000"/>
                <w:kern w:val="0"/>
                <w:szCs w:val="21"/>
              </w:rPr>
            </w:pPr>
            <w:bookmarkStart w:id="24" w:name="表职业类"/>
            <w:bookmarkEnd w:id="24"/>
            <w:r>
              <w:rPr>
                <w:rFonts w:hint="eastAsia" w:ascii="仿宋" w:hAnsi="仿宋" w:eastAsia="仿宋" w:cs="宋体"/>
                <w:b/>
                <w:bCs/>
                <w:color w:val="000000"/>
                <w:szCs w:val="21"/>
              </w:rPr>
              <w:t>职业类名称</w:t>
            </w:r>
          </w:p>
        </w:tc>
        <w:tc>
          <w:tcPr>
            <w:tcW w:w="4261" w:type="dxa"/>
            <w:shd w:val="clear" w:color="auto" w:fill="auto"/>
            <w:vAlign w:val="center"/>
          </w:tcPr>
          <w:p>
            <w:pPr>
              <w:jc w:val="center"/>
              <w:rPr>
                <w:rFonts w:ascii="仿宋" w:hAnsi="仿宋" w:eastAsia="仿宋"/>
                <w:b/>
                <w:bCs/>
                <w:color w:val="000000"/>
                <w:szCs w:val="21"/>
              </w:rPr>
            </w:pPr>
            <w:r>
              <w:rPr>
                <w:rFonts w:hint="eastAsia" w:ascii="仿宋" w:hAnsi="仿宋" w:eastAsia="仿宋" w:cs="宋体"/>
                <w:b/>
                <w:bCs/>
                <w:color w:val="000000"/>
                <w:szCs w:val="21"/>
              </w:rPr>
              <w:t>占学院就业毕业生的人数百分比（</w:t>
            </w:r>
            <w:r>
              <w:rPr>
                <w:rFonts w:ascii="仿宋" w:hAnsi="仿宋" w:eastAsia="仿宋"/>
                <w:b/>
                <w:bCs/>
                <w:color w:val="000000"/>
                <w:szCs w:val="21"/>
              </w:rPr>
              <w:t>%</w:t>
            </w:r>
            <w:r>
              <w:rPr>
                <w:rFonts w:hint="eastAsia" w:ascii="仿宋" w:hAnsi="仿宋" w:eastAsia="仿宋" w:cs="宋体"/>
                <w:b/>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财务</w:t>
            </w:r>
            <w:r>
              <w:rPr>
                <w:rFonts w:ascii="仿宋" w:hAnsi="仿宋" w:eastAsia="仿宋"/>
                <w:color w:val="000000"/>
                <w:szCs w:val="21"/>
              </w:rPr>
              <w:t>/</w:t>
            </w:r>
            <w:r>
              <w:rPr>
                <w:rFonts w:hint="eastAsia" w:ascii="仿宋" w:hAnsi="仿宋" w:eastAsia="仿宋" w:cs="宋体"/>
                <w:color w:val="000000"/>
                <w:szCs w:val="21"/>
              </w:rPr>
              <w:t>审计</w:t>
            </w:r>
            <w:r>
              <w:rPr>
                <w:rFonts w:ascii="仿宋" w:hAnsi="仿宋" w:eastAsia="仿宋"/>
                <w:color w:val="000000"/>
                <w:szCs w:val="21"/>
              </w:rPr>
              <w:t>/</w:t>
            </w:r>
            <w:r>
              <w:rPr>
                <w:rFonts w:hint="eastAsia" w:ascii="仿宋" w:hAnsi="仿宋" w:eastAsia="仿宋" w:cs="宋体"/>
                <w:color w:val="000000"/>
                <w:szCs w:val="21"/>
              </w:rPr>
              <w:t>税务</w:t>
            </w:r>
            <w:r>
              <w:rPr>
                <w:rFonts w:ascii="仿宋" w:hAnsi="仿宋" w:eastAsia="仿宋"/>
                <w:color w:val="000000"/>
                <w:szCs w:val="21"/>
              </w:rPr>
              <w:t>/</w:t>
            </w:r>
            <w:r>
              <w:rPr>
                <w:rFonts w:hint="eastAsia" w:ascii="仿宋" w:hAnsi="仿宋" w:eastAsia="仿宋" w:cs="宋体"/>
                <w:color w:val="000000"/>
                <w:szCs w:val="21"/>
              </w:rPr>
              <w:t>统计</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金融（银行</w:t>
            </w:r>
            <w:r>
              <w:rPr>
                <w:rFonts w:ascii="仿宋" w:hAnsi="仿宋" w:eastAsia="仿宋"/>
                <w:color w:val="000000"/>
                <w:szCs w:val="21"/>
              </w:rPr>
              <w:t>/</w:t>
            </w:r>
            <w:r>
              <w:rPr>
                <w:rFonts w:hint="eastAsia" w:ascii="仿宋" w:hAnsi="仿宋" w:eastAsia="仿宋" w:cs="宋体"/>
                <w:color w:val="000000"/>
                <w:szCs w:val="21"/>
              </w:rPr>
              <w:t>基金</w:t>
            </w:r>
            <w:r>
              <w:rPr>
                <w:rFonts w:ascii="仿宋" w:hAnsi="仿宋" w:eastAsia="仿宋"/>
                <w:color w:val="000000"/>
                <w:szCs w:val="21"/>
              </w:rPr>
              <w:t>/</w:t>
            </w:r>
            <w:r>
              <w:rPr>
                <w:rFonts w:hint="eastAsia" w:ascii="仿宋" w:hAnsi="仿宋" w:eastAsia="仿宋" w:cs="宋体"/>
                <w:color w:val="000000"/>
                <w:szCs w:val="21"/>
              </w:rPr>
              <w:t>证券</w:t>
            </w:r>
            <w:r>
              <w:rPr>
                <w:rFonts w:ascii="仿宋" w:hAnsi="仿宋" w:eastAsia="仿宋"/>
                <w:color w:val="000000"/>
                <w:szCs w:val="21"/>
              </w:rPr>
              <w:t>/</w:t>
            </w:r>
            <w:r>
              <w:rPr>
                <w:rFonts w:hint="eastAsia" w:ascii="仿宋" w:hAnsi="仿宋" w:eastAsia="仿宋" w:cs="宋体"/>
                <w:color w:val="000000"/>
                <w:szCs w:val="21"/>
              </w:rPr>
              <w:t>期货</w:t>
            </w:r>
            <w:r>
              <w:rPr>
                <w:rFonts w:ascii="仿宋" w:hAnsi="仿宋" w:eastAsia="仿宋"/>
                <w:color w:val="000000"/>
                <w:szCs w:val="21"/>
              </w:rPr>
              <w:t>/</w:t>
            </w:r>
            <w:r>
              <w:rPr>
                <w:rFonts w:hint="eastAsia" w:ascii="仿宋" w:hAnsi="仿宋" w:eastAsia="仿宋" w:cs="宋体"/>
                <w:color w:val="000000"/>
                <w:szCs w:val="21"/>
              </w:rPr>
              <w:t>理财）</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行政</w:t>
            </w:r>
            <w:r>
              <w:rPr>
                <w:rFonts w:ascii="仿宋" w:hAnsi="仿宋" w:eastAsia="仿宋"/>
                <w:color w:val="000000"/>
                <w:szCs w:val="21"/>
              </w:rPr>
              <w:t>/</w:t>
            </w:r>
            <w:r>
              <w:rPr>
                <w:rFonts w:hint="eastAsia" w:ascii="仿宋" w:hAnsi="仿宋" w:eastAsia="仿宋" w:cs="宋体"/>
                <w:color w:val="000000"/>
                <w:szCs w:val="21"/>
              </w:rPr>
              <w:t>后勤</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销售</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互联网开发及应用</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Cs w:val="21"/>
              </w:rPr>
            </w:pPr>
            <w:r>
              <w:rPr>
                <w:rFonts w:hint="eastAsia" w:ascii="仿宋" w:hAnsi="仿宋" w:eastAsia="仿宋" w:cs="宋体"/>
                <w:color w:val="000000"/>
                <w:szCs w:val="21"/>
              </w:rPr>
              <w:t>保险</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3.1</w:t>
            </w:r>
          </w:p>
        </w:tc>
      </w:tr>
    </w:tbl>
    <w:p>
      <w:pPr>
        <w:spacing w:line="360" w:lineRule="auto"/>
        <w:jc w:val="left"/>
        <w:rPr>
          <w:rFonts w:ascii="仿宋" w:hAnsi="仿宋" w:eastAsia="仿宋"/>
          <w:kern w:val="0"/>
          <w:szCs w:val="21"/>
        </w:rPr>
      </w:pPr>
      <w:r>
        <w:rPr>
          <w:rFonts w:hint="eastAsia" w:ascii="仿宋" w:hAnsi="仿宋" w:eastAsia="仿宋" w:cs="宋体"/>
          <w:kern w:val="0"/>
          <w:szCs w:val="21"/>
        </w:rPr>
        <w:t>数据来源：麦可思</w:t>
      </w:r>
      <w:r>
        <w:rPr>
          <w:rFonts w:ascii="仿宋" w:hAnsi="仿宋" w:eastAsia="仿宋"/>
          <w:kern w:val="0"/>
          <w:szCs w:val="21"/>
        </w:rPr>
        <w:t>-</w:t>
      </w:r>
      <w:r>
        <w:rPr>
          <w:rFonts w:hint="eastAsia" w:ascii="仿宋" w:hAnsi="仿宋" w:eastAsia="仿宋" w:cs="宋体"/>
          <w:kern w:val="0"/>
          <w:szCs w:val="21"/>
        </w:rPr>
        <w:t>四川财经职业学院</w:t>
      </w:r>
      <w:r>
        <w:rPr>
          <w:rFonts w:ascii="仿宋" w:hAnsi="仿宋" w:eastAsia="仿宋"/>
          <w:kern w:val="0"/>
          <w:szCs w:val="21"/>
        </w:rPr>
        <w:t>2018</w:t>
      </w:r>
      <w:r>
        <w:rPr>
          <w:rFonts w:hint="eastAsia" w:ascii="仿宋" w:hAnsi="仿宋" w:eastAsia="仿宋" w:cs="宋体"/>
          <w:kern w:val="0"/>
          <w:szCs w:val="21"/>
        </w:rPr>
        <w:t>届毕业生培养质量评价数据。</w:t>
      </w:r>
    </w:p>
    <w:p>
      <w:pPr>
        <w:spacing w:line="360" w:lineRule="auto"/>
        <w:ind w:firstLine="480" w:firstLineChars="200"/>
        <w:rPr>
          <w:rFonts w:ascii="仿宋" w:hAnsi="仿宋" w:eastAsia="仿宋" w:cs="黑体"/>
          <w:kern w:val="0"/>
          <w:sz w:val="24"/>
        </w:rPr>
      </w:pPr>
      <w:r>
        <w:rPr>
          <w:rFonts w:hint="eastAsia" w:ascii="宋体" w:hAnsi="宋体" w:cs="黑体"/>
          <w:kern w:val="0"/>
          <w:sz w:val="24"/>
        </w:rPr>
        <w:t>Ⅱ</w:t>
      </w:r>
      <w:r>
        <w:rPr>
          <w:rFonts w:hint="eastAsia" w:ascii="仿宋" w:hAnsi="仿宋" w:eastAsia="仿宋" w:cs="黑体"/>
          <w:kern w:val="0"/>
          <w:sz w:val="24"/>
        </w:rPr>
        <w:t>毕业生的行业流向</w:t>
      </w:r>
    </w:p>
    <w:p>
      <w:pPr>
        <w:spacing w:line="360" w:lineRule="auto"/>
        <w:ind w:firstLine="420"/>
        <w:rPr>
          <w:rFonts w:ascii="仿宋" w:hAnsi="仿宋" w:eastAsia="仿宋" w:cs="宋体"/>
          <w:kern w:val="0"/>
          <w:sz w:val="24"/>
        </w:rPr>
      </w:pPr>
      <w:r>
        <w:rPr>
          <w:rFonts w:hint="eastAsia" w:ascii="仿宋" w:hAnsi="仿宋" w:eastAsia="仿宋" w:cs="宋体"/>
          <w:kern w:val="0"/>
          <w:sz w:val="24"/>
        </w:rPr>
        <w:t>学院</w:t>
      </w:r>
      <w:r>
        <w:rPr>
          <w:rFonts w:ascii="仿宋" w:hAnsi="仿宋" w:eastAsia="仿宋" w:cs="Calibri"/>
          <w:kern w:val="0"/>
          <w:sz w:val="24"/>
        </w:rPr>
        <w:t>2018</w:t>
      </w:r>
      <w:r>
        <w:rPr>
          <w:rFonts w:hint="eastAsia" w:ascii="仿宋" w:hAnsi="仿宋" w:eastAsia="仿宋" w:cs="宋体"/>
          <w:kern w:val="0"/>
          <w:sz w:val="24"/>
        </w:rPr>
        <w:t>届毕业生就业的主要行业类如下表所示。学院</w:t>
      </w:r>
      <w:r>
        <w:rPr>
          <w:rFonts w:ascii="仿宋" w:hAnsi="仿宋" w:eastAsia="仿宋" w:cs="Calibri"/>
          <w:kern w:val="0"/>
          <w:sz w:val="24"/>
        </w:rPr>
        <w:t>2018</w:t>
      </w:r>
      <w:r>
        <w:rPr>
          <w:rFonts w:hint="eastAsia" w:ascii="仿宋" w:hAnsi="仿宋" w:eastAsia="仿宋" w:cs="宋体"/>
          <w:kern w:val="0"/>
          <w:sz w:val="24"/>
        </w:rPr>
        <w:t>届毕业生就业量较大的行业类为各类专业设计与咨询服务业（</w:t>
      </w:r>
      <w:r>
        <w:rPr>
          <w:rFonts w:ascii="仿宋" w:hAnsi="仿宋" w:eastAsia="仿宋" w:cs="Calibri"/>
          <w:kern w:val="0"/>
          <w:sz w:val="24"/>
        </w:rPr>
        <w:t>15.7%</w:t>
      </w:r>
      <w:r>
        <w:rPr>
          <w:rFonts w:hint="eastAsia" w:ascii="仿宋" w:hAnsi="仿宋" w:eastAsia="仿宋" w:cs="宋体"/>
          <w:kern w:val="0"/>
          <w:sz w:val="24"/>
        </w:rPr>
        <w:t>）、金融（银行</w:t>
      </w:r>
      <w:r>
        <w:rPr>
          <w:rFonts w:ascii="仿宋" w:hAnsi="仿宋" w:eastAsia="仿宋" w:cs="Calibri"/>
          <w:kern w:val="0"/>
          <w:sz w:val="24"/>
        </w:rPr>
        <w:t>/</w:t>
      </w:r>
      <w:r>
        <w:rPr>
          <w:rFonts w:hint="eastAsia" w:ascii="仿宋" w:hAnsi="仿宋" w:eastAsia="仿宋" w:cs="宋体"/>
          <w:kern w:val="0"/>
          <w:sz w:val="24"/>
        </w:rPr>
        <w:t>保险</w:t>
      </w:r>
      <w:r>
        <w:rPr>
          <w:rFonts w:ascii="仿宋" w:hAnsi="仿宋" w:eastAsia="仿宋" w:cs="Calibri"/>
          <w:kern w:val="0"/>
          <w:sz w:val="24"/>
        </w:rPr>
        <w:t>/</w:t>
      </w:r>
      <w:r>
        <w:rPr>
          <w:rFonts w:hint="eastAsia" w:ascii="仿宋" w:hAnsi="仿宋" w:eastAsia="仿宋" w:cs="宋体"/>
          <w:kern w:val="0"/>
          <w:sz w:val="24"/>
        </w:rPr>
        <w:t>证券）业（</w:t>
      </w:r>
      <w:r>
        <w:rPr>
          <w:rFonts w:ascii="仿宋" w:hAnsi="仿宋" w:eastAsia="仿宋" w:cs="Calibri"/>
          <w:kern w:val="0"/>
          <w:sz w:val="24"/>
        </w:rPr>
        <w:t>11.5%</w:t>
      </w:r>
      <w:r>
        <w:rPr>
          <w:rFonts w:hint="eastAsia" w:ascii="仿宋" w:hAnsi="仿宋" w:eastAsia="仿宋" w:cs="宋体"/>
          <w:kern w:val="0"/>
          <w:sz w:val="24"/>
        </w:rPr>
        <w:t>）。</w:t>
      </w:r>
      <w:bookmarkStart w:id="25" w:name="表行业类"/>
      <w:bookmarkEnd w:id="25"/>
      <w:bookmarkStart w:id="26" w:name="_Hlk530470781"/>
    </w:p>
    <w:p>
      <w:pPr>
        <w:spacing w:line="360" w:lineRule="auto"/>
        <w:jc w:val="center"/>
        <w:rPr>
          <w:rFonts w:ascii="仿宋" w:hAnsi="仿宋" w:eastAsia="仿宋"/>
          <w:b/>
          <w:bCs/>
          <w:kern w:val="0"/>
          <w:szCs w:val="21"/>
        </w:rPr>
      </w:pPr>
      <w:bookmarkStart w:id="27" w:name="_Toc530758533"/>
      <w:r>
        <w:rPr>
          <w:rFonts w:hint="eastAsia" w:ascii="仿宋" w:hAnsi="仿宋" w:eastAsia="仿宋" w:cs="宋体"/>
          <w:b/>
          <w:bCs/>
          <w:szCs w:val="21"/>
        </w:rPr>
        <w:t>表3.7  毕业生就业的主要行业类</w:t>
      </w:r>
      <w:bookmarkEnd w:id="27"/>
    </w:p>
    <w:bookmarkEnd w:id="26"/>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4261" w:type="dxa"/>
            <w:shd w:val="clear" w:color="auto" w:fill="auto"/>
            <w:vAlign w:val="center"/>
          </w:tcPr>
          <w:p>
            <w:pPr>
              <w:widowControl/>
              <w:jc w:val="center"/>
              <w:rPr>
                <w:rFonts w:ascii="仿宋" w:hAnsi="仿宋" w:eastAsia="仿宋"/>
                <w:b/>
                <w:bCs/>
                <w:color w:val="000000"/>
                <w:kern w:val="0"/>
                <w:szCs w:val="21"/>
              </w:rPr>
            </w:pPr>
            <w:r>
              <w:rPr>
                <w:rFonts w:hint="eastAsia" w:ascii="仿宋" w:hAnsi="仿宋" w:eastAsia="仿宋" w:cs="宋体"/>
                <w:b/>
                <w:bCs/>
                <w:color w:val="000000"/>
                <w:szCs w:val="21"/>
              </w:rPr>
              <w:t>行业类名称</w:t>
            </w:r>
          </w:p>
        </w:tc>
        <w:tc>
          <w:tcPr>
            <w:tcW w:w="4261" w:type="dxa"/>
            <w:shd w:val="clear" w:color="auto" w:fill="auto"/>
            <w:vAlign w:val="center"/>
          </w:tcPr>
          <w:p>
            <w:pPr>
              <w:jc w:val="center"/>
              <w:rPr>
                <w:rFonts w:ascii="仿宋" w:hAnsi="仿宋" w:eastAsia="仿宋"/>
                <w:b/>
                <w:bCs/>
                <w:color w:val="000000"/>
                <w:szCs w:val="21"/>
              </w:rPr>
            </w:pPr>
            <w:r>
              <w:rPr>
                <w:rFonts w:hint="eastAsia" w:ascii="仿宋" w:hAnsi="仿宋" w:eastAsia="仿宋" w:cs="宋体"/>
                <w:b/>
                <w:bCs/>
                <w:color w:val="000000"/>
                <w:szCs w:val="21"/>
              </w:rPr>
              <w:t>占学院就业毕业生的人数百分比（</w:t>
            </w:r>
            <w:r>
              <w:rPr>
                <w:rFonts w:ascii="仿宋" w:hAnsi="仿宋" w:eastAsia="仿宋"/>
                <w:b/>
                <w:bCs/>
                <w:color w:val="000000"/>
                <w:szCs w:val="21"/>
              </w:rPr>
              <w:t>%</w:t>
            </w:r>
            <w:r>
              <w:rPr>
                <w:rFonts w:hint="eastAsia" w:ascii="仿宋" w:hAnsi="仿宋" w:eastAsia="仿宋" w:cs="宋体"/>
                <w:b/>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各类专业设计与咨询服务业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金融（银行</w:t>
            </w:r>
            <w:r>
              <w:rPr>
                <w:rFonts w:ascii="仿宋" w:hAnsi="仿宋" w:eastAsia="仿宋"/>
                <w:color w:val="000000"/>
                <w:szCs w:val="21"/>
              </w:rPr>
              <w:t>/</w:t>
            </w:r>
            <w:r>
              <w:rPr>
                <w:rFonts w:hint="eastAsia" w:ascii="仿宋" w:hAnsi="仿宋" w:eastAsia="仿宋" w:cs="宋体"/>
                <w:color w:val="000000"/>
                <w:szCs w:val="21"/>
              </w:rPr>
              <w:t>保险</w:t>
            </w:r>
            <w:r>
              <w:rPr>
                <w:rFonts w:ascii="仿宋" w:hAnsi="仿宋" w:eastAsia="仿宋"/>
                <w:color w:val="000000"/>
                <w:szCs w:val="21"/>
              </w:rPr>
              <w:t>/</w:t>
            </w:r>
            <w:r>
              <w:rPr>
                <w:rFonts w:hint="eastAsia" w:ascii="仿宋" w:hAnsi="仿宋" w:eastAsia="仿宋" w:cs="宋体"/>
                <w:color w:val="000000"/>
                <w:szCs w:val="21"/>
              </w:rPr>
              <w:t>证券）业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零售商业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建筑业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教育业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媒体、信息及通信产业</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61" w:type="dxa"/>
            <w:shd w:val="clear" w:color="auto" w:fill="auto"/>
            <w:vAlign w:val="center"/>
          </w:tcPr>
          <w:p>
            <w:pPr>
              <w:rPr>
                <w:rFonts w:ascii="仿宋" w:hAnsi="仿宋" w:eastAsia="仿宋"/>
                <w:color w:val="000000"/>
                <w:szCs w:val="21"/>
              </w:rPr>
            </w:pPr>
            <w:r>
              <w:rPr>
                <w:rFonts w:hint="eastAsia" w:ascii="仿宋" w:hAnsi="仿宋" w:eastAsia="仿宋" w:cs="宋体"/>
                <w:color w:val="000000"/>
                <w:szCs w:val="21"/>
              </w:rPr>
              <w:t>其他服务业（除行政服务）</w:t>
            </w:r>
          </w:p>
        </w:tc>
        <w:tc>
          <w:tcPr>
            <w:tcW w:w="4261" w:type="dxa"/>
            <w:shd w:val="clear" w:color="auto" w:fill="auto"/>
            <w:vAlign w:val="center"/>
          </w:tcPr>
          <w:p>
            <w:pPr>
              <w:jc w:val="center"/>
              <w:rPr>
                <w:rFonts w:ascii="仿宋" w:hAnsi="仿宋" w:eastAsia="仿宋"/>
                <w:color w:val="000000"/>
                <w:szCs w:val="21"/>
              </w:rPr>
            </w:pPr>
            <w:r>
              <w:rPr>
                <w:rFonts w:ascii="仿宋" w:hAnsi="仿宋" w:eastAsia="仿宋"/>
                <w:color w:val="000000"/>
                <w:szCs w:val="21"/>
              </w:rPr>
              <w:t>6.1</w:t>
            </w:r>
          </w:p>
        </w:tc>
      </w:tr>
    </w:tbl>
    <w:p>
      <w:pPr>
        <w:spacing w:line="360" w:lineRule="auto"/>
        <w:jc w:val="left"/>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480" w:firstLineChars="200"/>
        <w:rPr>
          <w:rFonts w:ascii="仿宋" w:hAnsi="仿宋" w:eastAsia="仿宋" w:cs="黑体"/>
          <w:kern w:val="0"/>
          <w:sz w:val="24"/>
        </w:rPr>
      </w:pPr>
      <w:r>
        <w:rPr>
          <w:rFonts w:hint="eastAsia" w:ascii="宋体" w:hAnsi="宋体" w:cs="黑体"/>
          <w:kern w:val="0"/>
          <w:sz w:val="24"/>
        </w:rPr>
        <w:t>Ⅲ</w:t>
      </w:r>
      <w:r>
        <w:rPr>
          <w:rFonts w:hint="eastAsia" w:ascii="仿宋" w:hAnsi="仿宋" w:eastAsia="仿宋" w:cs="黑体"/>
          <w:kern w:val="0"/>
          <w:sz w:val="24"/>
        </w:rPr>
        <w:t>毕业生的用人单位流向</w:t>
      </w:r>
    </w:p>
    <w:p>
      <w:pPr>
        <w:spacing w:line="360" w:lineRule="auto"/>
        <w:ind w:firstLine="420"/>
        <w:rPr>
          <w:rFonts w:ascii="仿宋" w:hAnsi="仿宋" w:eastAsia="仿宋" w:cs="Calibri"/>
          <w:kern w:val="0"/>
          <w:sz w:val="24"/>
        </w:rPr>
      </w:pPr>
      <w:r>
        <w:rPr>
          <w:rFonts w:hint="eastAsia" w:ascii="仿宋" w:hAnsi="仿宋" w:eastAsia="仿宋" w:cs="宋体"/>
          <w:kern w:val="0"/>
          <w:sz w:val="24"/>
        </w:rPr>
        <w:t>学院</w:t>
      </w:r>
      <w:r>
        <w:rPr>
          <w:rFonts w:ascii="仿宋" w:hAnsi="仿宋" w:eastAsia="仿宋" w:cs="Calibri"/>
          <w:kern w:val="0"/>
          <w:sz w:val="24"/>
        </w:rPr>
        <w:t>2018</w:t>
      </w:r>
      <w:r>
        <w:rPr>
          <w:rFonts w:hint="eastAsia" w:ascii="仿宋" w:hAnsi="仿宋" w:eastAsia="仿宋" w:cs="宋体"/>
          <w:kern w:val="0"/>
          <w:sz w:val="24"/>
        </w:rPr>
        <w:t>届毕业生主要就业的用人单位类型是民营企业</w:t>
      </w:r>
      <w:r>
        <w:rPr>
          <w:rFonts w:ascii="仿宋" w:hAnsi="仿宋" w:eastAsia="仿宋" w:cs="Calibri"/>
          <w:kern w:val="0"/>
          <w:sz w:val="24"/>
        </w:rPr>
        <w:t>/</w:t>
      </w:r>
      <w:r>
        <w:rPr>
          <w:rFonts w:hint="eastAsia" w:ascii="仿宋" w:hAnsi="仿宋" w:eastAsia="仿宋" w:cs="宋体"/>
          <w:kern w:val="0"/>
          <w:sz w:val="24"/>
        </w:rPr>
        <w:t>个体（</w:t>
      </w:r>
      <w:r>
        <w:rPr>
          <w:rFonts w:ascii="仿宋" w:hAnsi="仿宋" w:eastAsia="仿宋" w:cs="Calibri"/>
          <w:kern w:val="0"/>
          <w:sz w:val="24"/>
        </w:rPr>
        <w:t>79%</w:t>
      </w:r>
      <w:r>
        <w:rPr>
          <w:rFonts w:hint="eastAsia" w:ascii="仿宋" w:hAnsi="仿宋" w:eastAsia="仿宋" w:cs="宋体"/>
          <w:kern w:val="0"/>
          <w:sz w:val="24"/>
        </w:rPr>
        <w:t>）。毕业生主要就业于</w:t>
      </w:r>
      <w:r>
        <w:rPr>
          <w:rFonts w:ascii="仿宋" w:hAnsi="仿宋" w:eastAsia="仿宋" w:cs="Calibri"/>
          <w:kern w:val="0"/>
          <w:sz w:val="24"/>
        </w:rPr>
        <w:t>300</w:t>
      </w:r>
      <w:r>
        <w:rPr>
          <w:rFonts w:hint="eastAsia" w:ascii="仿宋" w:hAnsi="仿宋" w:eastAsia="仿宋" w:cs="宋体"/>
          <w:kern w:val="0"/>
          <w:sz w:val="24"/>
        </w:rPr>
        <w:t>人及以下规模的中小型用人单位（</w:t>
      </w:r>
      <w:r>
        <w:rPr>
          <w:rFonts w:ascii="仿宋" w:hAnsi="仿宋" w:eastAsia="仿宋" w:cs="Calibri"/>
          <w:kern w:val="0"/>
          <w:sz w:val="24"/>
        </w:rPr>
        <w:t>67%</w:t>
      </w:r>
      <w:r>
        <w:rPr>
          <w:rFonts w:hint="eastAsia" w:ascii="仿宋" w:hAnsi="仿宋" w:eastAsia="仿宋" w:cs="宋体"/>
          <w:kern w:val="0"/>
          <w:sz w:val="24"/>
        </w:rPr>
        <w:t>）。</w:t>
      </w:r>
    </w:p>
    <w:p>
      <w:pPr>
        <w:spacing w:line="360" w:lineRule="auto"/>
        <w:jc w:val="center"/>
        <w:rPr>
          <w:rFonts w:ascii="仿宋" w:hAnsi="仿宋" w:eastAsia="仿宋" w:cs="宋体"/>
          <w:b/>
          <w:bCs/>
          <w:kern w:val="0"/>
          <w:sz w:val="24"/>
        </w:rPr>
      </w:pPr>
      <w:bookmarkStart w:id="28" w:name="用人单位类型_单届"/>
      <w:bookmarkEnd w:id="28"/>
      <w:r>
        <w:rPr>
          <w:rFonts w:ascii="仿宋" w:hAnsi="仿宋" w:eastAsia="仿宋"/>
          <w:b/>
          <w:bCs/>
          <w:kern w:val="0"/>
          <w:sz w:val="24"/>
        </w:rPr>
        <w:drawing>
          <wp:inline distT="0" distB="0" distL="0" distR="0">
            <wp:extent cx="4095115" cy="19754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98972" cy="1977522"/>
                    </a:xfrm>
                    <a:prstGeom prst="rect">
                      <a:avLst/>
                    </a:prstGeom>
                    <a:noFill/>
                    <a:ln>
                      <a:noFill/>
                    </a:ln>
                  </pic:spPr>
                </pic:pic>
              </a:graphicData>
            </a:graphic>
          </wp:inline>
        </w:drawing>
      </w:r>
    </w:p>
    <w:p>
      <w:pPr>
        <w:spacing w:line="360" w:lineRule="auto"/>
        <w:jc w:val="center"/>
        <w:rPr>
          <w:rFonts w:ascii="仿宋" w:hAnsi="仿宋" w:eastAsia="仿宋"/>
          <w:b/>
          <w:bCs/>
          <w:kern w:val="0"/>
          <w:szCs w:val="21"/>
        </w:rPr>
      </w:pPr>
      <w:r>
        <w:rPr>
          <w:rFonts w:hint="eastAsia" w:ascii="仿宋" w:hAnsi="仿宋" w:eastAsia="仿宋" w:cs="宋体"/>
          <w:b/>
          <w:bCs/>
          <w:kern w:val="0"/>
          <w:szCs w:val="21"/>
        </w:rPr>
        <w:t>图</w:t>
      </w:r>
      <w:r>
        <w:rPr>
          <w:rFonts w:hint="eastAsia" w:ascii="仿宋" w:hAnsi="仿宋" w:eastAsia="仿宋"/>
          <w:b/>
          <w:bCs/>
          <w:kern w:val="0"/>
          <w:szCs w:val="21"/>
        </w:rPr>
        <w:t xml:space="preserve">3.11  </w:t>
      </w:r>
      <w:r>
        <w:rPr>
          <w:rFonts w:hint="eastAsia" w:ascii="仿宋" w:hAnsi="仿宋" w:eastAsia="仿宋" w:cs="宋体"/>
          <w:b/>
          <w:bCs/>
          <w:kern w:val="0"/>
          <w:szCs w:val="21"/>
        </w:rPr>
        <w:t>用人单位流向</w:t>
      </w:r>
    </w:p>
    <w:p>
      <w:pPr>
        <w:spacing w:line="360" w:lineRule="auto"/>
        <w:ind w:firstLine="480" w:firstLineChars="200"/>
        <w:rPr>
          <w:rFonts w:ascii="仿宋" w:hAnsi="仿宋" w:eastAsia="仿宋" w:cs="黑体"/>
          <w:kern w:val="0"/>
          <w:sz w:val="24"/>
        </w:rPr>
      </w:pPr>
      <w:r>
        <w:rPr>
          <w:rFonts w:hint="eastAsia" w:ascii="仿宋" w:hAnsi="仿宋" w:eastAsia="仿宋" w:cs="黑体"/>
          <w:kern w:val="0"/>
          <w:sz w:val="24"/>
        </w:rPr>
        <w:t>Ⅳ就业毕业生的地区流向</w:t>
      </w:r>
    </w:p>
    <w:p>
      <w:pPr>
        <w:spacing w:line="360" w:lineRule="auto"/>
        <w:ind w:firstLine="420"/>
        <w:rPr>
          <w:rFonts w:ascii="仿宋" w:hAnsi="仿宋" w:eastAsia="仿宋"/>
          <w:sz w:val="24"/>
        </w:rPr>
      </w:pPr>
      <w:r>
        <w:rPr>
          <w:rFonts w:hint="eastAsia" w:ascii="仿宋" w:hAnsi="仿宋" w:eastAsia="仿宋" w:cs="宋体"/>
          <w:sz w:val="24"/>
        </w:rPr>
        <w:t>学院</w:t>
      </w:r>
      <w:r>
        <w:rPr>
          <w:rFonts w:ascii="仿宋" w:hAnsi="仿宋" w:eastAsia="仿宋"/>
          <w:sz w:val="24"/>
        </w:rPr>
        <w:t>2018</w:t>
      </w:r>
      <w:r>
        <w:rPr>
          <w:rFonts w:hint="eastAsia" w:ascii="仿宋" w:hAnsi="仿宋" w:eastAsia="仿宋" w:cs="宋体"/>
          <w:sz w:val="24"/>
        </w:rPr>
        <w:t>届就业的毕业生中，有</w:t>
      </w:r>
      <w:r>
        <w:rPr>
          <w:rFonts w:ascii="仿宋" w:hAnsi="仿宋" w:eastAsia="仿宋"/>
          <w:sz w:val="24"/>
        </w:rPr>
        <w:t>88.7%</w:t>
      </w:r>
      <w:r>
        <w:rPr>
          <w:rFonts w:hint="eastAsia" w:ascii="仿宋" w:hAnsi="仿宋" w:eastAsia="仿宋" w:cs="宋体"/>
          <w:sz w:val="24"/>
        </w:rPr>
        <w:t>的人在四川省就业。毕业生就业量较大的城市为成都（</w:t>
      </w:r>
      <w:r>
        <w:rPr>
          <w:rFonts w:ascii="仿宋" w:hAnsi="仿宋" w:eastAsia="仿宋"/>
          <w:sz w:val="24"/>
        </w:rPr>
        <w:t>72.8%</w:t>
      </w:r>
      <w:r>
        <w:rPr>
          <w:rFonts w:hint="eastAsia" w:ascii="仿宋" w:hAnsi="仿宋" w:eastAsia="仿宋" w:cs="宋体"/>
          <w:sz w:val="24"/>
        </w:rPr>
        <w:t>）、甘孜藏族自治州（</w:t>
      </w:r>
      <w:r>
        <w:rPr>
          <w:rFonts w:ascii="仿宋" w:hAnsi="仿宋" w:eastAsia="仿宋"/>
          <w:sz w:val="24"/>
        </w:rPr>
        <w:t>3.1%</w:t>
      </w:r>
      <w:r>
        <w:rPr>
          <w:rFonts w:hint="eastAsia" w:ascii="仿宋" w:hAnsi="仿宋" w:eastAsia="仿宋" w:cs="宋体"/>
          <w:sz w:val="24"/>
        </w:rPr>
        <w:t>）。</w:t>
      </w:r>
    </w:p>
    <w:p>
      <w:pPr>
        <w:spacing w:line="360" w:lineRule="auto"/>
        <w:jc w:val="center"/>
        <w:rPr>
          <w:rFonts w:ascii="仿宋" w:hAnsi="仿宋" w:eastAsia="仿宋"/>
          <w:sz w:val="24"/>
        </w:rPr>
      </w:pPr>
      <w:bookmarkStart w:id="29" w:name="本省就业比例"/>
      <w:bookmarkEnd w:id="29"/>
      <w:r>
        <w:rPr>
          <w:rFonts w:ascii="仿宋" w:hAnsi="仿宋" w:eastAsia="仿宋"/>
          <w:sz w:val="24"/>
        </w:rPr>
        <w:drawing>
          <wp:inline distT="0" distB="0" distL="0" distR="0">
            <wp:extent cx="4476750" cy="20091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76771" cy="2009144"/>
                    </a:xfrm>
                    <a:prstGeom prst="rect">
                      <a:avLst/>
                    </a:prstGeom>
                    <a:noFill/>
                    <a:ln>
                      <a:noFill/>
                    </a:ln>
                  </pic:spPr>
                </pic:pic>
              </a:graphicData>
            </a:graphic>
          </wp:inline>
        </w:drawing>
      </w:r>
    </w:p>
    <w:p>
      <w:pPr>
        <w:widowControl/>
        <w:spacing w:line="360" w:lineRule="auto"/>
        <w:ind w:left="840"/>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30" w:name="_Toc530758542"/>
      <w:bookmarkStart w:id="31" w:name="_Toc452567853"/>
      <w:bookmarkStart w:id="32" w:name="_Toc452482022"/>
      <w:bookmarkStart w:id="33" w:name="_Toc410655470"/>
      <w:bookmarkStart w:id="34" w:name="_Toc385257745"/>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图3.12  毕业生在四川省就业的比例</w:t>
      </w:r>
      <w:bookmarkEnd w:id="30"/>
      <w:bookmarkEnd w:id="31"/>
      <w:bookmarkEnd w:id="32"/>
      <w:bookmarkEnd w:id="33"/>
      <w:bookmarkEnd w:id="34"/>
    </w:p>
    <w:p>
      <w:pPr>
        <w:spacing w:line="360" w:lineRule="auto"/>
        <w:jc w:val="left"/>
        <w:rPr>
          <w:rFonts w:ascii="仿宋" w:hAnsi="仿宋" w:eastAsia="仿宋"/>
          <w:color w:val="0D0D0D" w:themeColor="text1" w:themeTint="F2"/>
          <w:kern w:val="0"/>
          <w:sz w:val="18"/>
          <w:szCs w:val="18"/>
          <w14:textFill>
            <w14:solidFill>
              <w14:schemeClr w14:val="tx1">
                <w14:lumMod w14:val="95000"/>
                <w14:lumOff w14:val="5000"/>
              </w14:schemeClr>
            </w14:solidFill>
          </w14:textFill>
        </w:rPr>
      </w:pPr>
      <w:r>
        <w:rPr>
          <w:rFonts w:hint="eastAsia" w:ascii="仿宋" w:hAnsi="仿宋" w:eastAsia="仿宋" w:cs="宋体"/>
          <w:color w:val="0D0D0D" w:themeColor="text1" w:themeTint="F2"/>
          <w:kern w:val="0"/>
          <w:sz w:val="18"/>
          <w:szCs w:val="18"/>
          <w14:textFill>
            <w14:solidFill>
              <w14:schemeClr w14:val="tx1">
                <w14:lumMod w14:val="95000"/>
                <w14:lumOff w14:val="5000"/>
              </w14:schemeClr>
            </w14:solidFill>
          </w14:textFill>
        </w:rPr>
        <w:t>数据来源：麦可思</w:t>
      </w:r>
      <w:r>
        <w:rPr>
          <w:rFonts w:ascii="仿宋" w:hAnsi="仿宋" w:eastAsia="仿宋"/>
          <w:color w:val="0D0D0D" w:themeColor="text1" w:themeTint="F2"/>
          <w:kern w:val="0"/>
          <w:sz w:val="18"/>
          <w:szCs w:val="18"/>
          <w14:textFill>
            <w14:solidFill>
              <w14:schemeClr w14:val="tx1">
                <w14:lumMod w14:val="95000"/>
                <w14:lumOff w14:val="5000"/>
              </w14:schemeClr>
            </w14:solidFill>
          </w14:textFill>
        </w:rPr>
        <w:t>-</w:t>
      </w:r>
      <w:r>
        <w:rPr>
          <w:rFonts w:hint="eastAsia" w:ascii="仿宋" w:hAnsi="仿宋" w:eastAsia="仿宋" w:cs="宋体"/>
          <w:color w:val="0D0D0D" w:themeColor="text1" w:themeTint="F2"/>
          <w:kern w:val="0"/>
          <w:sz w:val="18"/>
          <w:szCs w:val="18"/>
          <w14:textFill>
            <w14:solidFill>
              <w14:schemeClr w14:val="tx1">
                <w14:lumMod w14:val="95000"/>
                <w14:lumOff w14:val="5000"/>
              </w14:schemeClr>
            </w14:solidFill>
          </w14:textFill>
        </w:rPr>
        <w:t>四川财经职业学院</w:t>
      </w:r>
      <w:r>
        <w:rPr>
          <w:rFonts w:ascii="仿宋" w:hAnsi="仿宋" w:eastAsia="仿宋"/>
          <w:color w:val="0D0D0D" w:themeColor="text1" w:themeTint="F2"/>
          <w:kern w:val="0"/>
          <w:sz w:val="18"/>
          <w:szCs w:val="18"/>
          <w14:textFill>
            <w14:solidFill>
              <w14:schemeClr w14:val="tx1">
                <w14:lumMod w14:val="95000"/>
                <w14:lumOff w14:val="5000"/>
              </w14:schemeClr>
            </w14:solidFill>
          </w14:textFill>
        </w:rPr>
        <w:t>2018</w:t>
      </w:r>
      <w:r>
        <w:rPr>
          <w:rFonts w:hint="eastAsia" w:ascii="仿宋" w:hAnsi="仿宋" w:eastAsia="仿宋" w:cs="宋体"/>
          <w:color w:val="0D0D0D" w:themeColor="text1" w:themeTint="F2"/>
          <w:kern w:val="0"/>
          <w:sz w:val="18"/>
          <w:szCs w:val="18"/>
          <w14:textFill>
            <w14:solidFill>
              <w14:schemeClr w14:val="tx1">
                <w14:lumMod w14:val="95000"/>
                <w14:lumOff w14:val="5000"/>
              </w14:schemeClr>
            </w14:solidFill>
          </w14:textFill>
        </w:rPr>
        <w:t>届毕业生培养质量评价数据</w:t>
      </w:r>
    </w:p>
    <w:p>
      <w:pPr>
        <w:spacing w:line="360" w:lineRule="auto"/>
        <w:jc w:val="center"/>
        <w:rPr>
          <w:rFonts w:ascii="仿宋" w:hAnsi="仿宋" w:eastAsia="仿宋"/>
          <w:b/>
          <w:bCs/>
          <w:kern w:val="0"/>
          <w:szCs w:val="21"/>
        </w:rPr>
      </w:pPr>
      <w:bookmarkStart w:id="35" w:name="_Toc452482023"/>
      <w:bookmarkStart w:id="36" w:name="_Toc530758543"/>
      <w:bookmarkStart w:id="37" w:name="_Toc452567854"/>
      <w:r>
        <w:rPr>
          <w:rFonts w:hint="eastAsia" w:ascii="仿宋" w:hAnsi="仿宋" w:eastAsia="仿宋" w:cs="宋体"/>
          <w:b/>
          <w:bCs/>
          <w:szCs w:val="21"/>
        </w:rPr>
        <w:t>表3.8  主要就业城市需求</w:t>
      </w:r>
      <w:bookmarkEnd w:id="35"/>
      <w:bookmarkEnd w:id="36"/>
      <w:bookmarkEnd w:id="37"/>
    </w:p>
    <w:tbl>
      <w:tblPr>
        <w:tblStyle w:val="19"/>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trPr>
        <w:tc>
          <w:tcPr>
            <w:tcW w:w="4261" w:type="dxa"/>
            <w:shd w:val="clear" w:color="auto" w:fill="auto"/>
            <w:vAlign w:val="center"/>
          </w:tcPr>
          <w:p>
            <w:pPr>
              <w:widowControl/>
              <w:jc w:val="center"/>
              <w:rPr>
                <w:rFonts w:ascii="仿宋" w:hAnsi="仿宋" w:eastAsia="仿宋"/>
                <w:b w:val="0"/>
                <w:bCs w:val="0"/>
                <w:color w:val="000000"/>
                <w:kern w:val="0"/>
                <w:sz w:val="21"/>
                <w:szCs w:val="21"/>
              </w:rPr>
            </w:pPr>
            <w:bookmarkStart w:id="38" w:name="本校主要就业城市_单届"/>
            <w:bookmarkEnd w:id="38"/>
            <w:r>
              <w:rPr>
                <w:rFonts w:hint="eastAsia" w:ascii="仿宋" w:hAnsi="仿宋" w:eastAsia="仿宋" w:cs="宋体"/>
                <w:b w:val="0"/>
                <w:bCs w:val="0"/>
                <w:color w:val="000000"/>
                <w:sz w:val="21"/>
                <w:szCs w:val="21"/>
              </w:rPr>
              <w:t>就业城市</w:t>
            </w:r>
          </w:p>
        </w:tc>
        <w:tc>
          <w:tcPr>
            <w:tcW w:w="4261" w:type="dxa"/>
            <w:shd w:val="clear" w:color="auto" w:fill="auto"/>
            <w:vAlign w:val="center"/>
          </w:tcPr>
          <w:p>
            <w:pPr>
              <w:jc w:val="center"/>
              <w:rPr>
                <w:rFonts w:ascii="仿宋" w:hAnsi="仿宋" w:eastAsia="仿宋"/>
                <w:b w:val="0"/>
                <w:bCs w:val="0"/>
                <w:color w:val="000000"/>
                <w:sz w:val="21"/>
                <w:szCs w:val="21"/>
              </w:rPr>
            </w:pPr>
            <w:r>
              <w:rPr>
                <w:rFonts w:hint="eastAsia" w:ascii="仿宋" w:hAnsi="仿宋" w:eastAsia="仿宋" w:cs="宋体"/>
                <w:b w:val="0"/>
                <w:bCs w:val="0"/>
                <w:color w:val="000000"/>
                <w:sz w:val="21"/>
                <w:szCs w:val="21"/>
              </w:rPr>
              <w:t>占学院就业毕业生的人数百分比（</w:t>
            </w:r>
            <w:r>
              <w:rPr>
                <w:rFonts w:ascii="仿宋" w:hAnsi="仿宋" w:eastAsia="仿宋"/>
                <w:b w:val="0"/>
                <w:bCs w:val="0"/>
                <w:color w:val="000000"/>
                <w:sz w:val="21"/>
                <w:szCs w:val="21"/>
              </w:rPr>
              <w:t>%</w:t>
            </w:r>
            <w:r>
              <w:rPr>
                <w:rFonts w:hint="eastAsia" w:ascii="仿宋" w:hAnsi="仿宋" w:eastAsia="仿宋" w:cs="宋体"/>
                <w:b w:val="0"/>
                <w:bCs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 w:val="21"/>
                <w:szCs w:val="21"/>
              </w:rPr>
            </w:pPr>
            <w:r>
              <w:rPr>
                <w:rFonts w:hint="eastAsia" w:ascii="仿宋" w:hAnsi="仿宋" w:eastAsia="仿宋" w:cs="宋体"/>
                <w:color w:val="000000"/>
                <w:sz w:val="21"/>
                <w:szCs w:val="21"/>
              </w:rPr>
              <w:t>成都</w:t>
            </w:r>
          </w:p>
        </w:tc>
        <w:tc>
          <w:tcPr>
            <w:tcW w:w="4261" w:type="dxa"/>
            <w:shd w:val="clear" w:color="auto" w:fill="auto"/>
            <w:vAlign w:val="center"/>
          </w:tcPr>
          <w:p>
            <w:pPr>
              <w:jc w:val="center"/>
              <w:rPr>
                <w:rFonts w:ascii="仿宋" w:hAnsi="仿宋" w:eastAsia="仿宋"/>
                <w:color w:val="000000"/>
                <w:sz w:val="21"/>
                <w:szCs w:val="21"/>
              </w:rPr>
            </w:pPr>
            <w:r>
              <w:rPr>
                <w:rFonts w:ascii="仿宋" w:hAnsi="仿宋" w:eastAsia="仿宋"/>
                <w:color w:val="000000"/>
                <w:sz w:val="21"/>
                <w:szCs w:val="21"/>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1" w:type="dxa"/>
            <w:shd w:val="clear" w:color="auto" w:fill="auto"/>
            <w:vAlign w:val="center"/>
          </w:tcPr>
          <w:p>
            <w:pPr>
              <w:jc w:val="left"/>
              <w:rPr>
                <w:rFonts w:ascii="仿宋" w:hAnsi="仿宋" w:eastAsia="仿宋"/>
                <w:color w:val="000000"/>
                <w:sz w:val="21"/>
                <w:szCs w:val="21"/>
              </w:rPr>
            </w:pPr>
            <w:r>
              <w:rPr>
                <w:rFonts w:hint="eastAsia" w:ascii="仿宋" w:hAnsi="仿宋" w:eastAsia="仿宋" w:cs="宋体"/>
                <w:color w:val="000000"/>
                <w:sz w:val="21"/>
                <w:szCs w:val="21"/>
              </w:rPr>
              <w:t>甘孜藏族自治州</w:t>
            </w:r>
          </w:p>
        </w:tc>
        <w:tc>
          <w:tcPr>
            <w:tcW w:w="4261" w:type="dxa"/>
            <w:shd w:val="clear" w:color="auto" w:fill="auto"/>
            <w:vAlign w:val="center"/>
          </w:tcPr>
          <w:p>
            <w:pPr>
              <w:jc w:val="center"/>
              <w:rPr>
                <w:rFonts w:ascii="仿宋" w:hAnsi="仿宋" w:eastAsia="仿宋"/>
                <w:color w:val="000000"/>
                <w:sz w:val="21"/>
                <w:szCs w:val="21"/>
              </w:rPr>
            </w:pPr>
            <w:r>
              <w:rPr>
                <w:rFonts w:ascii="仿宋" w:hAnsi="仿宋" w:eastAsia="仿宋"/>
                <w:color w:val="000000"/>
                <w:sz w:val="21"/>
                <w:szCs w:val="21"/>
              </w:rPr>
              <w:t>3.1</w:t>
            </w:r>
          </w:p>
        </w:tc>
      </w:tr>
    </w:tbl>
    <w:p>
      <w:pPr>
        <w:spacing w:line="360" w:lineRule="auto"/>
        <w:jc w:val="left"/>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left="360"/>
        <w:rPr>
          <w:rFonts w:ascii="仿宋" w:hAnsi="仿宋" w:eastAsia="仿宋"/>
          <w:bCs/>
          <w:kern w:val="0"/>
          <w:sz w:val="24"/>
        </w:rPr>
      </w:pPr>
      <w:bookmarkStart w:id="39" w:name="_Toc416338597"/>
      <w:r>
        <w:rPr>
          <w:rFonts w:hint="eastAsia" w:ascii="仿宋" w:hAnsi="仿宋" w:eastAsia="仿宋" w:cs="宋体"/>
          <w:bCs/>
          <w:kern w:val="0"/>
          <w:sz w:val="24"/>
        </w:rPr>
        <w:t>（3）毕业生就业质量</w:t>
      </w:r>
      <w:bookmarkEnd w:id="39"/>
    </w:p>
    <w:p>
      <w:pPr>
        <w:spacing w:line="360" w:lineRule="auto"/>
        <w:ind w:firstLine="480" w:firstLineChars="200"/>
        <w:rPr>
          <w:rFonts w:ascii="仿宋" w:hAnsi="仿宋" w:eastAsia="仿宋"/>
          <w:bCs/>
          <w:kern w:val="0"/>
          <w:sz w:val="24"/>
        </w:rPr>
      </w:pPr>
      <w:r>
        <w:rPr>
          <w:rFonts w:ascii="仿宋" w:hAnsi="仿宋" w:eastAsia="仿宋" w:cs="Calibri"/>
          <w:bCs/>
          <w:kern w:val="0"/>
          <w:sz w:val="24"/>
        </w:rPr>
        <w:t>①</w:t>
      </w:r>
      <w:r>
        <w:rPr>
          <w:rFonts w:hint="eastAsia" w:ascii="仿宋" w:hAnsi="仿宋" w:eastAsia="仿宋" w:cs="宋体"/>
          <w:bCs/>
          <w:kern w:val="0"/>
          <w:sz w:val="24"/>
        </w:rPr>
        <w:t xml:space="preserve"> 毕业生的月收入</w:t>
      </w:r>
    </w:p>
    <w:p>
      <w:pPr>
        <w:spacing w:line="360" w:lineRule="auto"/>
        <w:ind w:firstLine="420"/>
        <w:rPr>
          <w:rFonts w:ascii="仿宋" w:hAnsi="仿宋" w:eastAsia="仿宋"/>
          <w:sz w:val="24"/>
        </w:rPr>
      </w:pPr>
      <w:r>
        <w:rPr>
          <w:rFonts w:hint="eastAsia" w:ascii="仿宋" w:hAnsi="仿宋" w:eastAsia="仿宋" w:cs="宋体"/>
          <w:kern w:val="0"/>
          <w:sz w:val="24"/>
        </w:rPr>
        <w:t>学院</w:t>
      </w:r>
      <w:r>
        <w:rPr>
          <w:rFonts w:ascii="仿宋" w:hAnsi="仿宋" w:eastAsia="仿宋"/>
          <w:kern w:val="0"/>
          <w:sz w:val="24"/>
        </w:rPr>
        <w:t>2018</w:t>
      </w:r>
      <w:r>
        <w:rPr>
          <w:rFonts w:hint="eastAsia" w:ascii="仿宋" w:hAnsi="仿宋" w:eastAsia="仿宋" w:cs="宋体"/>
          <w:kern w:val="0"/>
          <w:sz w:val="24"/>
        </w:rPr>
        <w:t>届毕业生的平均月收入为</w:t>
      </w:r>
      <w:r>
        <w:rPr>
          <w:rFonts w:ascii="仿宋" w:hAnsi="仿宋" w:eastAsia="仿宋"/>
          <w:kern w:val="0"/>
          <w:sz w:val="24"/>
        </w:rPr>
        <w:t>3714</w:t>
      </w:r>
      <w:r>
        <w:rPr>
          <w:rFonts w:hint="eastAsia" w:ascii="仿宋" w:hAnsi="仿宋" w:eastAsia="仿宋" w:cs="宋体"/>
          <w:kern w:val="0"/>
          <w:sz w:val="24"/>
        </w:rPr>
        <w:t>元。</w:t>
      </w:r>
    </w:p>
    <w:p>
      <w:pPr>
        <w:spacing w:line="360" w:lineRule="auto"/>
        <w:jc w:val="center"/>
        <w:rPr>
          <w:rFonts w:ascii="仿宋" w:hAnsi="仿宋" w:eastAsia="仿宋"/>
          <w:b/>
          <w:bCs/>
          <w:sz w:val="24"/>
        </w:rPr>
      </w:pPr>
      <w:bookmarkStart w:id="40" w:name="总体月收入"/>
      <w:bookmarkEnd w:id="40"/>
      <w:r>
        <w:rPr>
          <w:rFonts w:ascii="仿宋" w:hAnsi="仿宋" w:eastAsia="仿宋"/>
          <w:b/>
          <w:bCs/>
          <w:sz w:val="24"/>
        </w:rPr>
        <w:drawing>
          <wp:inline distT="0" distB="0" distL="0" distR="0">
            <wp:extent cx="4505325" cy="21736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12334" cy="2176946"/>
                    </a:xfrm>
                    <a:prstGeom prst="rect">
                      <a:avLst/>
                    </a:prstGeom>
                    <a:noFill/>
                    <a:ln>
                      <a:noFill/>
                    </a:ln>
                  </pic:spPr>
                </pic:pic>
              </a:graphicData>
            </a:graphic>
          </wp:inline>
        </w:drawing>
      </w:r>
    </w:p>
    <w:p>
      <w:pPr>
        <w:widowControl/>
        <w:spacing w:line="360" w:lineRule="auto"/>
        <w:ind w:left="840"/>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41" w:name="_Toc436646126"/>
      <w:bookmarkStart w:id="42" w:name="_Toc530758562"/>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图3.13  毕业生的月收入</w:t>
      </w:r>
      <w:bookmarkEnd w:id="41"/>
      <w:bookmarkEnd w:id="42"/>
    </w:p>
    <w:p>
      <w:pPr>
        <w:spacing w:line="360" w:lineRule="auto"/>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420"/>
        <w:rPr>
          <w:rFonts w:ascii="仿宋" w:hAnsi="仿宋" w:eastAsia="仿宋"/>
          <w:sz w:val="24"/>
        </w:rPr>
      </w:pPr>
      <w:bookmarkStart w:id="43" w:name="_Hlk530471120"/>
      <w:r>
        <w:rPr>
          <w:rFonts w:hint="eastAsia" w:ascii="仿宋" w:hAnsi="仿宋" w:eastAsia="仿宋" w:cs="宋体"/>
          <w:sz w:val="24"/>
        </w:rPr>
        <w:t>学院</w:t>
      </w:r>
      <w:r>
        <w:rPr>
          <w:rFonts w:ascii="仿宋" w:hAnsi="仿宋" w:eastAsia="仿宋"/>
          <w:sz w:val="24"/>
        </w:rPr>
        <w:t>2018</w:t>
      </w:r>
      <w:r>
        <w:rPr>
          <w:rFonts w:hint="eastAsia" w:ascii="仿宋" w:hAnsi="仿宋" w:eastAsia="仿宋" w:cs="宋体"/>
          <w:sz w:val="24"/>
        </w:rPr>
        <w:t>届月收入较高的专业是电子商务（</w:t>
      </w:r>
      <w:r>
        <w:rPr>
          <w:rFonts w:ascii="仿宋" w:hAnsi="仿宋" w:eastAsia="仿宋"/>
          <w:sz w:val="24"/>
        </w:rPr>
        <w:t>4262</w:t>
      </w:r>
      <w:r>
        <w:rPr>
          <w:rFonts w:hint="eastAsia" w:ascii="仿宋" w:hAnsi="仿宋" w:eastAsia="仿宋" w:cs="宋体"/>
          <w:sz w:val="24"/>
        </w:rPr>
        <w:t>元）、投资与理财（</w:t>
      </w:r>
      <w:r>
        <w:rPr>
          <w:rFonts w:ascii="仿宋" w:hAnsi="仿宋" w:eastAsia="仿宋"/>
          <w:sz w:val="24"/>
        </w:rPr>
        <w:t>4114</w:t>
      </w:r>
      <w:r>
        <w:rPr>
          <w:rFonts w:hint="eastAsia" w:ascii="仿宋" w:hAnsi="仿宋" w:eastAsia="仿宋" w:cs="宋体"/>
          <w:sz w:val="24"/>
        </w:rPr>
        <w:t>元）、市场营销（</w:t>
      </w:r>
      <w:r>
        <w:rPr>
          <w:rFonts w:ascii="仿宋" w:hAnsi="仿宋" w:eastAsia="仿宋"/>
          <w:sz w:val="24"/>
        </w:rPr>
        <w:t>4033</w:t>
      </w:r>
      <w:r>
        <w:rPr>
          <w:rFonts w:hint="eastAsia" w:ascii="仿宋" w:hAnsi="仿宋" w:eastAsia="仿宋" w:cs="宋体"/>
          <w:sz w:val="24"/>
        </w:rPr>
        <w:t>元），月收入较低的专业是会计电算化（</w:t>
      </w:r>
      <w:r>
        <w:rPr>
          <w:rFonts w:ascii="仿宋" w:hAnsi="仿宋" w:eastAsia="仿宋"/>
          <w:sz w:val="24"/>
        </w:rPr>
        <w:t>3363</w:t>
      </w:r>
      <w:r>
        <w:rPr>
          <w:rFonts w:hint="eastAsia" w:ascii="仿宋" w:hAnsi="仿宋" w:eastAsia="仿宋" w:cs="宋体"/>
          <w:sz w:val="24"/>
        </w:rPr>
        <w:t>元）、会计（中澳）（</w:t>
      </w:r>
      <w:r>
        <w:rPr>
          <w:rFonts w:ascii="仿宋" w:hAnsi="仿宋" w:eastAsia="仿宋"/>
          <w:sz w:val="24"/>
        </w:rPr>
        <w:t>3371</w:t>
      </w:r>
      <w:r>
        <w:rPr>
          <w:rFonts w:hint="eastAsia" w:ascii="仿宋" w:hAnsi="仿宋" w:eastAsia="仿宋" w:cs="宋体"/>
          <w:sz w:val="24"/>
        </w:rPr>
        <w:t>元）、审计实务（</w:t>
      </w:r>
      <w:r>
        <w:rPr>
          <w:rFonts w:ascii="仿宋" w:hAnsi="仿宋" w:eastAsia="仿宋"/>
          <w:sz w:val="24"/>
        </w:rPr>
        <w:t>3415</w:t>
      </w:r>
      <w:r>
        <w:rPr>
          <w:rFonts w:hint="eastAsia" w:ascii="仿宋" w:hAnsi="仿宋" w:eastAsia="仿宋" w:cs="宋体"/>
          <w:sz w:val="24"/>
        </w:rPr>
        <w:t>元）。</w:t>
      </w:r>
      <w:bookmarkEnd w:id="43"/>
    </w:p>
    <w:p>
      <w:pPr>
        <w:spacing w:line="360" w:lineRule="auto"/>
        <w:jc w:val="center"/>
        <w:rPr>
          <w:rFonts w:ascii="仿宋" w:hAnsi="仿宋" w:eastAsia="仿宋"/>
          <w:sz w:val="24"/>
        </w:rPr>
      </w:pPr>
      <w:bookmarkStart w:id="44" w:name="各专业月收入_单届"/>
      <w:bookmarkEnd w:id="44"/>
      <w:r>
        <w:rPr>
          <w:rFonts w:ascii="仿宋" w:hAnsi="仿宋" w:eastAsia="仿宋"/>
          <w:sz w:val="24"/>
        </w:rPr>
        <w:drawing>
          <wp:inline distT="0" distB="0" distL="0" distR="0">
            <wp:extent cx="3907790" cy="3501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13497" cy="3506974"/>
                    </a:xfrm>
                    <a:prstGeom prst="rect">
                      <a:avLst/>
                    </a:prstGeom>
                    <a:noFill/>
                    <a:ln>
                      <a:noFill/>
                    </a:ln>
                  </pic:spPr>
                </pic:pic>
              </a:graphicData>
            </a:graphic>
          </wp:inline>
        </w:drawing>
      </w:r>
    </w:p>
    <w:p>
      <w:pPr>
        <w:widowControl/>
        <w:spacing w:line="360" w:lineRule="auto"/>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45" w:name="_Toc286308744"/>
      <w:bookmarkStart w:id="46" w:name="_Toc286309612"/>
      <w:bookmarkStart w:id="47" w:name="_Toc286308933"/>
      <w:bookmarkStart w:id="48" w:name="_Toc410656435"/>
      <w:bookmarkStart w:id="49" w:name="_Toc439943049"/>
      <w:bookmarkStart w:id="50" w:name="_Toc316488365"/>
      <w:bookmarkStart w:id="51" w:name="_Toc306700585"/>
      <w:bookmarkStart w:id="52" w:name="_Toc452567721"/>
      <w:bookmarkStart w:id="53" w:name="_Toc530758564"/>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图3.14  各专业毕业生的月收入</w:t>
      </w:r>
      <w:bookmarkEnd w:id="45"/>
      <w:bookmarkEnd w:id="46"/>
      <w:bookmarkEnd w:id="47"/>
      <w:bookmarkEnd w:id="48"/>
      <w:bookmarkEnd w:id="49"/>
      <w:bookmarkEnd w:id="50"/>
      <w:bookmarkEnd w:id="51"/>
      <w:bookmarkEnd w:id="52"/>
      <w:bookmarkEnd w:id="53"/>
    </w:p>
    <w:p>
      <w:pPr>
        <w:spacing w:line="360" w:lineRule="auto"/>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bookmarkStart w:id="54" w:name="续各专业月收入_单届_1"/>
      <w:bookmarkEnd w:id="54"/>
    </w:p>
    <w:p>
      <w:pPr>
        <w:spacing w:line="360" w:lineRule="auto"/>
        <w:ind w:firstLine="352" w:firstLineChars="147"/>
        <w:rPr>
          <w:rFonts w:ascii="仿宋" w:hAnsi="仿宋" w:eastAsia="仿宋"/>
          <w:bCs/>
          <w:kern w:val="0"/>
          <w:sz w:val="24"/>
        </w:rPr>
      </w:pPr>
      <w:r>
        <w:rPr>
          <w:rFonts w:ascii="仿宋" w:hAnsi="仿宋" w:eastAsia="仿宋" w:cs="Calibri"/>
          <w:bCs/>
          <w:kern w:val="0"/>
          <w:sz w:val="24"/>
        </w:rPr>
        <w:t>②</w:t>
      </w:r>
      <w:r>
        <w:rPr>
          <w:rFonts w:hint="eastAsia" w:ascii="仿宋" w:hAnsi="仿宋" w:eastAsia="仿宋" w:cs="宋体"/>
          <w:bCs/>
          <w:kern w:val="0"/>
          <w:sz w:val="24"/>
        </w:rPr>
        <w:t xml:space="preserve"> 毕业生的工作与专业相关度</w:t>
      </w:r>
    </w:p>
    <w:p>
      <w:pPr>
        <w:spacing w:line="360" w:lineRule="auto"/>
        <w:ind w:firstLine="420"/>
        <w:jc w:val="left"/>
        <w:rPr>
          <w:rFonts w:ascii="仿宋" w:hAnsi="仿宋" w:eastAsia="仿宋"/>
          <w:sz w:val="24"/>
        </w:rPr>
      </w:pPr>
      <w:r>
        <w:rPr>
          <w:rFonts w:hint="eastAsia" w:ascii="仿宋" w:hAnsi="仿宋" w:eastAsia="仿宋" w:cs="宋体"/>
          <w:sz w:val="24"/>
        </w:rPr>
        <w:t>学院</w:t>
      </w:r>
      <w:r>
        <w:rPr>
          <w:rFonts w:ascii="仿宋" w:hAnsi="仿宋" w:eastAsia="仿宋"/>
          <w:sz w:val="24"/>
        </w:rPr>
        <w:t>2018</w:t>
      </w:r>
      <w:r>
        <w:rPr>
          <w:rFonts w:hint="eastAsia" w:ascii="仿宋" w:hAnsi="仿宋" w:eastAsia="仿宋" w:cs="宋体"/>
          <w:sz w:val="24"/>
        </w:rPr>
        <w:t>届毕业生的工作与专业相关度平均值为</w:t>
      </w:r>
      <w:r>
        <w:rPr>
          <w:rFonts w:ascii="仿宋" w:hAnsi="仿宋" w:eastAsia="仿宋"/>
          <w:sz w:val="24"/>
        </w:rPr>
        <w:t>64%</w:t>
      </w:r>
      <w:r>
        <w:rPr>
          <w:rFonts w:hint="eastAsia" w:ascii="仿宋" w:hAnsi="仿宋" w:eastAsia="仿宋" w:cs="宋体"/>
          <w:sz w:val="24"/>
        </w:rPr>
        <w:t>。</w:t>
      </w:r>
    </w:p>
    <w:p>
      <w:pPr>
        <w:spacing w:line="360" w:lineRule="auto"/>
        <w:jc w:val="center"/>
        <w:rPr>
          <w:rFonts w:ascii="仿宋" w:hAnsi="仿宋" w:eastAsia="仿宋" w:cs="宋体"/>
          <w:b/>
          <w:bCs/>
          <w:szCs w:val="21"/>
        </w:rPr>
      </w:pPr>
      <w:bookmarkStart w:id="55" w:name="总体相关度"/>
      <w:bookmarkEnd w:id="55"/>
      <w:r>
        <w:rPr>
          <w:rFonts w:ascii="仿宋" w:hAnsi="仿宋" w:eastAsia="仿宋"/>
          <w:sz w:val="24"/>
        </w:rPr>
        <w:drawing>
          <wp:inline distT="0" distB="0" distL="0" distR="0">
            <wp:extent cx="4206240" cy="2028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07495" cy="2029877"/>
                    </a:xfrm>
                    <a:prstGeom prst="rect">
                      <a:avLst/>
                    </a:prstGeom>
                    <a:noFill/>
                    <a:ln>
                      <a:noFill/>
                    </a:ln>
                  </pic:spPr>
                </pic:pic>
              </a:graphicData>
            </a:graphic>
          </wp:inline>
        </w:drawing>
      </w:r>
    </w:p>
    <w:p>
      <w:pPr>
        <w:spacing w:line="360" w:lineRule="auto"/>
        <w:jc w:val="center"/>
        <w:rPr>
          <w:rFonts w:ascii="仿宋" w:hAnsi="仿宋" w:eastAsia="仿宋"/>
          <w:szCs w:val="21"/>
        </w:rPr>
      </w:pPr>
      <w:r>
        <w:rPr>
          <w:rFonts w:hint="eastAsia" w:ascii="仿宋" w:hAnsi="仿宋" w:eastAsia="仿宋" w:cs="宋体"/>
          <w:b/>
          <w:bCs/>
          <w:szCs w:val="21"/>
        </w:rPr>
        <w:t>图</w:t>
      </w:r>
      <w:r>
        <w:rPr>
          <w:rFonts w:hint="eastAsia" w:ascii="仿宋" w:hAnsi="仿宋" w:eastAsia="仿宋"/>
          <w:b/>
          <w:bCs/>
          <w:szCs w:val="21"/>
        </w:rPr>
        <w:t xml:space="preserve">3.15  </w:t>
      </w:r>
      <w:r>
        <w:rPr>
          <w:rFonts w:hint="eastAsia" w:ascii="仿宋" w:hAnsi="仿宋" w:eastAsia="仿宋" w:cs="宋体"/>
          <w:b/>
          <w:bCs/>
          <w:szCs w:val="21"/>
        </w:rPr>
        <w:t>毕业生的工作与专业相关度</w:t>
      </w:r>
    </w:p>
    <w:p>
      <w:pPr>
        <w:spacing w:line="360" w:lineRule="auto"/>
        <w:ind w:firstLine="420"/>
        <w:rPr>
          <w:rFonts w:ascii="仿宋" w:hAnsi="仿宋" w:eastAsia="仿宋"/>
          <w:sz w:val="24"/>
        </w:rPr>
      </w:pPr>
      <w:r>
        <w:rPr>
          <w:rFonts w:ascii="仿宋" w:hAnsi="仿宋" w:eastAsia="仿宋"/>
          <w:sz w:val="24"/>
        </w:rPr>
        <w:t>2018</w:t>
      </w:r>
      <w:r>
        <w:rPr>
          <w:rFonts w:hint="eastAsia" w:ascii="仿宋" w:hAnsi="仿宋" w:eastAsia="仿宋" w:cs="宋体"/>
          <w:sz w:val="24"/>
        </w:rPr>
        <w:t>届毕业生工作与专业相关度较高的专业是会计（</w:t>
      </w:r>
      <w:r>
        <w:rPr>
          <w:rFonts w:ascii="仿宋" w:hAnsi="仿宋" w:eastAsia="仿宋"/>
          <w:sz w:val="24"/>
        </w:rPr>
        <w:t>77%</w:t>
      </w:r>
      <w:r>
        <w:rPr>
          <w:rFonts w:hint="eastAsia" w:ascii="仿宋" w:hAnsi="仿宋" w:eastAsia="仿宋" w:cs="宋体"/>
          <w:sz w:val="24"/>
        </w:rPr>
        <w:t>）、会计电算化（</w:t>
      </w:r>
      <w:r>
        <w:rPr>
          <w:rFonts w:ascii="仿宋" w:hAnsi="仿宋" w:eastAsia="仿宋"/>
          <w:sz w:val="24"/>
        </w:rPr>
        <w:t>71%</w:t>
      </w:r>
      <w:r>
        <w:rPr>
          <w:rFonts w:hint="eastAsia" w:ascii="仿宋" w:hAnsi="仿宋" w:eastAsia="仿宋" w:cs="宋体"/>
          <w:sz w:val="24"/>
        </w:rPr>
        <w:t>），工作与专业相关度较低的专业是工商企业管理（</w:t>
      </w:r>
      <w:r>
        <w:rPr>
          <w:rFonts w:ascii="仿宋" w:hAnsi="仿宋" w:eastAsia="仿宋"/>
          <w:sz w:val="24"/>
        </w:rPr>
        <w:t>42%</w:t>
      </w:r>
      <w:r>
        <w:rPr>
          <w:rFonts w:hint="eastAsia" w:ascii="仿宋" w:hAnsi="仿宋" w:eastAsia="仿宋" w:cs="宋体"/>
          <w:sz w:val="24"/>
        </w:rPr>
        <w:t>）、税务（</w:t>
      </w:r>
      <w:r>
        <w:rPr>
          <w:rFonts w:ascii="仿宋" w:hAnsi="仿宋" w:eastAsia="仿宋"/>
          <w:sz w:val="24"/>
        </w:rPr>
        <w:t>44%</w:t>
      </w:r>
      <w:r>
        <w:rPr>
          <w:rFonts w:hint="eastAsia" w:ascii="仿宋" w:hAnsi="仿宋" w:eastAsia="仿宋" w:cs="宋体"/>
          <w:sz w:val="24"/>
        </w:rPr>
        <w:t>）、投资与理财（</w:t>
      </w:r>
      <w:r>
        <w:rPr>
          <w:rFonts w:ascii="仿宋" w:hAnsi="仿宋" w:eastAsia="仿宋"/>
          <w:sz w:val="24"/>
        </w:rPr>
        <w:t>44%</w:t>
      </w:r>
      <w:r>
        <w:rPr>
          <w:rFonts w:hint="eastAsia" w:ascii="仿宋" w:hAnsi="仿宋" w:eastAsia="仿宋" w:cs="宋体"/>
          <w:sz w:val="24"/>
        </w:rPr>
        <w:t>）。</w:t>
      </w:r>
    </w:p>
    <w:p>
      <w:pPr>
        <w:spacing w:line="360" w:lineRule="auto"/>
        <w:jc w:val="center"/>
        <w:rPr>
          <w:rFonts w:ascii="仿宋" w:hAnsi="仿宋" w:eastAsia="仿宋"/>
          <w:sz w:val="24"/>
        </w:rPr>
      </w:pPr>
      <w:bookmarkStart w:id="56" w:name="各专业相关度_单届"/>
      <w:bookmarkEnd w:id="56"/>
      <w:r>
        <w:rPr>
          <w:rFonts w:ascii="仿宋" w:hAnsi="仿宋" w:eastAsia="仿宋"/>
          <w:sz w:val="24"/>
        </w:rPr>
        <w:drawing>
          <wp:inline distT="0" distB="0" distL="0" distR="0">
            <wp:extent cx="4213860" cy="3923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17497" cy="3927487"/>
                    </a:xfrm>
                    <a:prstGeom prst="rect">
                      <a:avLst/>
                    </a:prstGeom>
                    <a:noFill/>
                    <a:ln>
                      <a:noFill/>
                    </a:ln>
                  </pic:spPr>
                </pic:pic>
              </a:graphicData>
            </a:graphic>
          </wp:inline>
        </w:drawing>
      </w:r>
    </w:p>
    <w:p>
      <w:pPr>
        <w:widowControl/>
        <w:spacing w:line="360" w:lineRule="auto"/>
        <w:ind w:left="840"/>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57" w:name="_Toc316488369"/>
      <w:bookmarkStart w:id="58" w:name="_Toc306700587"/>
      <w:bookmarkStart w:id="59" w:name="_Toc410656447"/>
      <w:bookmarkStart w:id="60" w:name="_Toc286309614"/>
      <w:bookmarkStart w:id="61" w:name="_Toc286308746"/>
      <w:bookmarkStart w:id="62" w:name="_Toc286308935"/>
      <w:bookmarkStart w:id="63" w:name="_Toc452481927"/>
      <w:bookmarkStart w:id="64" w:name="_Toc530758567"/>
      <w:bookmarkStart w:id="65" w:name="_Toc439943063"/>
      <w:bookmarkStart w:id="66" w:name="_Toc452567739"/>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图3.16  各专业毕业生的工作与专业相关</w:t>
      </w:r>
      <w:bookmarkEnd w:id="57"/>
      <w:bookmarkEnd w:id="58"/>
      <w:bookmarkEnd w:id="59"/>
      <w:bookmarkEnd w:id="60"/>
      <w:bookmarkEnd w:id="61"/>
      <w:bookmarkEnd w:id="62"/>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度</w:t>
      </w:r>
      <w:bookmarkEnd w:id="63"/>
      <w:bookmarkEnd w:id="64"/>
      <w:bookmarkEnd w:id="65"/>
      <w:bookmarkEnd w:id="66"/>
    </w:p>
    <w:p>
      <w:pPr>
        <w:spacing w:line="360" w:lineRule="auto"/>
        <w:jc w:val="left"/>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470" w:firstLineChars="196"/>
        <w:rPr>
          <w:rFonts w:ascii="仿宋" w:hAnsi="仿宋" w:eastAsia="仿宋"/>
          <w:bCs/>
          <w:sz w:val="24"/>
        </w:rPr>
      </w:pPr>
      <w:bookmarkStart w:id="67" w:name="图1_20"/>
      <w:bookmarkEnd w:id="67"/>
      <w:bookmarkStart w:id="68" w:name="图1_11"/>
      <w:bookmarkEnd w:id="68"/>
      <w:bookmarkStart w:id="69" w:name="图1_17"/>
      <w:bookmarkEnd w:id="69"/>
      <w:bookmarkStart w:id="70" w:name="续各专业相关度_单届_1"/>
      <w:bookmarkEnd w:id="70"/>
      <w:r>
        <w:rPr>
          <w:rFonts w:ascii="仿宋" w:hAnsi="仿宋" w:eastAsia="仿宋" w:cs="Calibri"/>
          <w:bCs/>
          <w:sz w:val="24"/>
        </w:rPr>
        <w:t>③</w:t>
      </w:r>
      <w:r>
        <w:rPr>
          <w:rFonts w:hint="eastAsia" w:ascii="仿宋" w:hAnsi="仿宋" w:eastAsia="仿宋" w:cs="宋体"/>
          <w:bCs/>
          <w:sz w:val="24"/>
        </w:rPr>
        <w:t>就业现状满意度</w:t>
      </w:r>
    </w:p>
    <w:p>
      <w:pPr>
        <w:spacing w:line="360" w:lineRule="auto"/>
        <w:ind w:firstLine="420"/>
        <w:rPr>
          <w:rFonts w:ascii="仿宋" w:hAnsi="仿宋" w:eastAsia="仿宋"/>
          <w:sz w:val="24"/>
        </w:rPr>
      </w:pPr>
      <w:r>
        <w:rPr>
          <w:rFonts w:hint="eastAsia" w:ascii="仿宋" w:hAnsi="仿宋" w:eastAsia="仿宋" w:cs="宋体"/>
          <w:sz w:val="24"/>
        </w:rPr>
        <w:t>学院</w:t>
      </w:r>
      <w:r>
        <w:rPr>
          <w:rFonts w:ascii="仿宋" w:hAnsi="仿宋" w:eastAsia="仿宋"/>
          <w:sz w:val="24"/>
        </w:rPr>
        <w:t>2018</w:t>
      </w:r>
      <w:r>
        <w:rPr>
          <w:rFonts w:hint="eastAsia" w:ascii="仿宋" w:hAnsi="仿宋" w:eastAsia="仿宋" w:cs="宋体"/>
          <w:sz w:val="24"/>
        </w:rPr>
        <w:t>届毕业生的就业现状满意度平均值为</w:t>
      </w:r>
      <w:r>
        <w:rPr>
          <w:rFonts w:ascii="仿宋" w:hAnsi="仿宋" w:eastAsia="仿宋"/>
          <w:sz w:val="24"/>
        </w:rPr>
        <w:t>67%</w:t>
      </w:r>
      <w:r>
        <w:rPr>
          <w:rFonts w:hint="eastAsia" w:ascii="仿宋" w:hAnsi="仿宋" w:eastAsia="仿宋" w:cs="宋体"/>
          <w:sz w:val="24"/>
        </w:rPr>
        <w:t>。</w:t>
      </w:r>
    </w:p>
    <w:p>
      <w:pPr>
        <w:spacing w:line="360" w:lineRule="auto"/>
        <w:jc w:val="center"/>
        <w:rPr>
          <w:rFonts w:ascii="仿宋" w:hAnsi="仿宋" w:eastAsia="仿宋"/>
          <w:sz w:val="24"/>
        </w:rPr>
      </w:pPr>
      <w:bookmarkStart w:id="71" w:name="总体就业现状满意度"/>
      <w:bookmarkEnd w:id="71"/>
      <w:r>
        <w:rPr>
          <w:rFonts w:ascii="仿宋" w:hAnsi="仿宋" w:eastAsia="仿宋"/>
          <w:sz w:val="24"/>
        </w:rPr>
        <w:drawing>
          <wp:inline distT="0" distB="0" distL="0" distR="0">
            <wp:extent cx="4498975" cy="2170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99550" cy="2170778"/>
                    </a:xfrm>
                    <a:prstGeom prst="rect">
                      <a:avLst/>
                    </a:prstGeom>
                    <a:noFill/>
                    <a:ln>
                      <a:noFill/>
                    </a:ln>
                  </pic:spPr>
                </pic:pic>
              </a:graphicData>
            </a:graphic>
          </wp:inline>
        </w:drawing>
      </w:r>
    </w:p>
    <w:p>
      <w:pPr>
        <w:widowControl/>
        <w:spacing w:line="360" w:lineRule="auto"/>
        <w:ind w:left="840"/>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72" w:name="_Toc361229854"/>
      <w:bookmarkStart w:id="73" w:name="_Toc436646131"/>
      <w:bookmarkStart w:id="74" w:name="_Toc530758568"/>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图3.17  就业现状满意度</w:t>
      </w:r>
      <w:bookmarkEnd w:id="72"/>
      <w:bookmarkEnd w:id="73"/>
      <w:bookmarkEnd w:id="74"/>
    </w:p>
    <w:p>
      <w:pPr>
        <w:spacing w:line="360" w:lineRule="auto"/>
        <w:jc w:val="left"/>
        <w:rPr>
          <w:rFonts w:ascii="仿宋" w:hAnsi="仿宋" w:eastAsia="仿宋"/>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spacing w:line="360" w:lineRule="auto"/>
        <w:ind w:firstLine="420"/>
        <w:rPr>
          <w:rFonts w:ascii="仿宋" w:hAnsi="仿宋" w:eastAsia="仿宋"/>
          <w:sz w:val="24"/>
        </w:rPr>
      </w:pPr>
      <w:r>
        <w:rPr>
          <w:rFonts w:ascii="仿宋" w:hAnsi="仿宋" w:eastAsia="仿宋"/>
          <w:sz w:val="24"/>
        </w:rPr>
        <w:t>2018</w:t>
      </w:r>
      <w:r>
        <w:rPr>
          <w:rFonts w:hint="eastAsia" w:ascii="仿宋" w:hAnsi="仿宋" w:eastAsia="仿宋" w:cs="宋体"/>
          <w:sz w:val="24"/>
        </w:rPr>
        <w:t>届就业现状满意度较高的专业是电子商务（</w:t>
      </w:r>
      <w:r>
        <w:rPr>
          <w:rFonts w:ascii="仿宋" w:hAnsi="仿宋" w:eastAsia="仿宋"/>
          <w:sz w:val="24"/>
        </w:rPr>
        <w:t>79%</w:t>
      </w:r>
      <w:r>
        <w:rPr>
          <w:rFonts w:hint="eastAsia" w:ascii="仿宋" w:hAnsi="仿宋" w:eastAsia="仿宋" w:cs="宋体"/>
          <w:sz w:val="24"/>
        </w:rPr>
        <w:t>）、金融管理与实务（</w:t>
      </w:r>
      <w:r>
        <w:rPr>
          <w:rFonts w:ascii="仿宋" w:hAnsi="仿宋" w:eastAsia="仿宋"/>
          <w:sz w:val="24"/>
        </w:rPr>
        <w:t>78%</w:t>
      </w:r>
      <w:r>
        <w:rPr>
          <w:rFonts w:hint="eastAsia" w:ascii="仿宋" w:hAnsi="仿宋" w:eastAsia="仿宋" w:cs="宋体"/>
          <w:sz w:val="24"/>
        </w:rPr>
        <w:t>）、财务管理（</w:t>
      </w:r>
      <w:r>
        <w:rPr>
          <w:rFonts w:ascii="仿宋" w:hAnsi="仿宋" w:eastAsia="仿宋"/>
          <w:sz w:val="24"/>
        </w:rPr>
        <w:t>74%</w:t>
      </w:r>
      <w:r>
        <w:rPr>
          <w:rFonts w:hint="eastAsia" w:ascii="仿宋" w:hAnsi="仿宋" w:eastAsia="仿宋" w:cs="宋体"/>
          <w:sz w:val="24"/>
        </w:rPr>
        <w:t>），就业现状满意度较低的专业是税务（</w:t>
      </w:r>
      <w:r>
        <w:rPr>
          <w:rFonts w:ascii="仿宋" w:hAnsi="仿宋" w:eastAsia="仿宋"/>
          <w:sz w:val="24"/>
        </w:rPr>
        <w:t>48%</w:t>
      </w:r>
      <w:r>
        <w:rPr>
          <w:rFonts w:hint="eastAsia" w:ascii="仿宋" w:hAnsi="仿宋" w:eastAsia="仿宋" w:cs="宋体"/>
          <w:sz w:val="24"/>
        </w:rPr>
        <w:t>）、会计电算化（</w:t>
      </w:r>
      <w:r>
        <w:rPr>
          <w:rFonts w:ascii="仿宋" w:hAnsi="仿宋" w:eastAsia="仿宋"/>
          <w:sz w:val="24"/>
        </w:rPr>
        <w:t>50%</w:t>
      </w:r>
      <w:r>
        <w:rPr>
          <w:rFonts w:hint="eastAsia" w:ascii="仿宋" w:hAnsi="仿宋" w:eastAsia="仿宋" w:cs="宋体"/>
          <w:sz w:val="24"/>
        </w:rPr>
        <w:t>）。</w:t>
      </w:r>
    </w:p>
    <w:p>
      <w:pPr>
        <w:spacing w:line="360" w:lineRule="auto"/>
        <w:jc w:val="center"/>
        <w:rPr>
          <w:rFonts w:ascii="仿宋" w:hAnsi="仿宋" w:eastAsia="仿宋"/>
          <w:sz w:val="24"/>
        </w:rPr>
      </w:pPr>
      <w:bookmarkStart w:id="75" w:name="各专业就业现状满意度_单届"/>
      <w:bookmarkEnd w:id="75"/>
      <w:r>
        <w:rPr>
          <w:rFonts w:ascii="仿宋" w:hAnsi="仿宋" w:eastAsia="仿宋"/>
          <w:sz w:val="24"/>
        </w:rPr>
        <w:drawing>
          <wp:inline distT="0" distB="0" distL="0" distR="0">
            <wp:extent cx="5208270" cy="3411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08270" cy="3411220"/>
                    </a:xfrm>
                    <a:prstGeom prst="rect">
                      <a:avLst/>
                    </a:prstGeom>
                    <a:noFill/>
                    <a:ln>
                      <a:noFill/>
                    </a:ln>
                  </pic:spPr>
                </pic:pic>
              </a:graphicData>
            </a:graphic>
          </wp:inline>
        </w:drawing>
      </w:r>
    </w:p>
    <w:p>
      <w:pPr>
        <w:widowControl/>
        <w:spacing w:line="360" w:lineRule="auto"/>
        <w:jc w:val="center"/>
        <w:rPr>
          <w:rFonts w:ascii="仿宋" w:hAnsi="仿宋" w:eastAsia="仿宋"/>
          <w:b/>
          <w:iCs/>
          <w:color w:val="0D0D0D" w:themeColor="text1" w:themeTint="F2"/>
          <w:kern w:val="0"/>
          <w:szCs w:val="21"/>
          <w14:textFill>
            <w14:solidFill>
              <w14:schemeClr w14:val="tx1">
                <w14:lumMod w14:val="95000"/>
                <w14:lumOff w14:val="5000"/>
              </w14:schemeClr>
            </w14:solidFill>
          </w14:textFill>
        </w:rPr>
      </w:pPr>
      <w:bookmarkStart w:id="76" w:name="_Toc530758570"/>
      <w:bookmarkStart w:id="77" w:name="_Toc452568749"/>
      <w:bookmarkStart w:id="78" w:name="_Toc410656467"/>
      <w:r>
        <w:rPr>
          <w:rFonts w:hint="eastAsia" w:ascii="仿宋" w:hAnsi="仿宋" w:eastAsia="仿宋" w:cs="宋体"/>
          <w:b/>
          <w:iCs/>
          <w:color w:val="0D0D0D" w:themeColor="text1" w:themeTint="F2"/>
          <w:kern w:val="0"/>
          <w:szCs w:val="21"/>
          <w14:textFill>
            <w14:solidFill>
              <w14:schemeClr w14:val="tx1">
                <w14:lumMod w14:val="95000"/>
                <w14:lumOff w14:val="5000"/>
              </w14:schemeClr>
            </w14:solidFill>
          </w14:textFill>
        </w:rPr>
        <w:t>图3.18 各专业毕业生的就业现状满意度</w:t>
      </w:r>
      <w:bookmarkEnd w:id="76"/>
      <w:bookmarkEnd w:id="77"/>
      <w:bookmarkEnd w:id="78"/>
    </w:p>
    <w:p>
      <w:pPr>
        <w:spacing w:line="360" w:lineRule="auto"/>
        <w:jc w:val="left"/>
        <w:rPr>
          <w:rFonts w:ascii="仿宋" w:hAnsi="仿宋" w:eastAsia="仿宋" w:cs="宋体"/>
          <w:kern w:val="0"/>
          <w:sz w:val="18"/>
          <w:szCs w:val="18"/>
        </w:rPr>
      </w:pPr>
      <w:r>
        <w:rPr>
          <w:rFonts w:hint="eastAsia" w:ascii="仿宋" w:hAnsi="仿宋" w:eastAsia="仿宋" w:cs="宋体"/>
          <w:kern w:val="0"/>
          <w:sz w:val="18"/>
          <w:szCs w:val="18"/>
        </w:rPr>
        <w:t>数据来源：麦可思</w:t>
      </w:r>
      <w:r>
        <w:rPr>
          <w:rFonts w:ascii="仿宋" w:hAnsi="仿宋" w:eastAsia="仿宋"/>
          <w:kern w:val="0"/>
          <w:sz w:val="18"/>
          <w:szCs w:val="18"/>
        </w:rPr>
        <w:t>-</w:t>
      </w:r>
      <w:r>
        <w:rPr>
          <w:rFonts w:hint="eastAsia" w:ascii="仿宋" w:hAnsi="仿宋" w:eastAsia="仿宋" w:cs="宋体"/>
          <w:kern w:val="0"/>
          <w:sz w:val="18"/>
          <w:szCs w:val="18"/>
        </w:rPr>
        <w:t>四川财经职业学院</w:t>
      </w:r>
      <w:r>
        <w:rPr>
          <w:rFonts w:ascii="仿宋" w:hAnsi="仿宋" w:eastAsia="仿宋"/>
          <w:kern w:val="0"/>
          <w:sz w:val="18"/>
          <w:szCs w:val="18"/>
        </w:rPr>
        <w:t>2018</w:t>
      </w:r>
      <w:r>
        <w:rPr>
          <w:rFonts w:hint="eastAsia" w:ascii="仿宋" w:hAnsi="仿宋" w:eastAsia="仿宋" w:cs="宋体"/>
          <w:kern w:val="0"/>
          <w:sz w:val="18"/>
          <w:szCs w:val="18"/>
        </w:rPr>
        <w:t>届毕业生培养质量评价数据</w:t>
      </w:r>
    </w:p>
    <w:p>
      <w:pPr>
        <w:pStyle w:val="2"/>
        <w:spacing w:before="0" w:after="0" w:line="360" w:lineRule="auto"/>
        <w:rPr>
          <w:rFonts w:hint="eastAsia" w:ascii="仿宋" w:hAnsi="仿宋" w:eastAsia="仿宋"/>
          <w:color w:val="0D0D0D" w:themeColor="text1" w:themeTint="F2"/>
          <w:sz w:val="32"/>
          <w:szCs w:val="32"/>
          <w14:textFill>
            <w14:solidFill>
              <w14:schemeClr w14:val="tx1">
                <w14:lumMod w14:val="95000"/>
                <w14:lumOff w14:val="5000"/>
              </w14:schemeClr>
            </w14:solidFill>
          </w14:textFill>
        </w:rPr>
      </w:pPr>
      <w:bookmarkStart w:id="79" w:name="_Toc533491214"/>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四、教学改革</w:t>
      </w:r>
      <w:bookmarkEnd w:id="79"/>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80" w:name="_Toc533491215"/>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（一）培养理念及培养模式</w:t>
      </w:r>
      <w:bookmarkEnd w:id="80"/>
    </w:p>
    <w:p>
      <w:pPr>
        <w:spacing w:line="360" w:lineRule="auto"/>
        <w:ind w:firstLine="723" w:firstLineChars="300"/>
        <w:rPr>
          <w:rFonts w:ascii="仿宋" w:hAnsi="仿宋" w:eastAsia="仿宋"/>
          <w:b/>
          <w:color w:val="0D0D0D" w:themeColor="text1" w:themeTint="F2"/>
          <w:sz w:val="24"/>
          <w14:textFill>
            <w14:solidFill>
              <w14:schemeClr w14:val="tx1">
                <w14:lumMod w14:val="95000"/>
                <w14:lumOff w14:val="5000"/>
              </w14:schemeClr>
            </w14:solidFill>
          </w14:textFill>
        </w:rPr>
      </w:pPr>
      <w:r>
        <w:rPr>
          <w:rFonts w:hint="eastAsia" w:ascii="仿宋" w:hAnsi="仿宋" w:eastAsia="仿宋"/>
          <w:b/>
          <w:color w:val="0D0D0D" w:themeColor="text1" w:themeTint="F2"/>
          <w:sz w:val="24"/>
          <w14:textFill>
            <w14:solidFill>
              <w14:schemeClr w14:val="tx1">
                <w14:lumMod w14:val="95000"/>
                <w14:lumOff w14:val="5000"/>
              </w14:schemeClr>
            </w14:solidFill>
          </w14:textFill>
        </w:rPr>
        <w:t>1.优化培养理念</w:t>
      </w:r>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我国商贸服务业进入到消费升级、互联互通、大数据、人工智能、智慧物流、共享经济、商业3.0的新时代。”与此同时，信息对称、产业链聚变使得数据成为核心生产资料。面对新时代，财经商贸人才的培养理念、培养方法、培养路径、培养内容等都需要渐进式优化和创新。因此学院认为要在新型财经商贸人才培养中体现具有全球视野，熟悉、掌握并运用新商业规律，具有全新的商业技术、专业知识、变通的能力以及跨界复合的知识和能力结构，形成交叉融合的新商业思维，诚实守信，勇于担责，善于沟通交流、组织规划，具备很强的数字化学习能力、反省批判能力，善于接纳新事物，创新意识强，精益求精，自我发展动力强劲，能够实现终身可持续发展。</w:t>
      </w:r>
    </w:p>
    <w:p>
      <w:pPr>
        <w:spacing w:line="360" w:lineRule="auto"/>
        <w:ind w:firstLine="482" w:firstLineChars="200"/>
        <w:rPr>
          <w:rFonts w:ascii="仿宋" w:hAnsi="仿宋" w:eastAsia="仿宋"/>
          <w:b/>
          <w:color w:val="0D0D0D" w:themeColor="text1" w:themeTint="F2"/>
          <w:sz w:val="24"/>
          <w14:textFill>
            <w14:solidFill>
              <w14:schemeClr w14:val="tx1">
                <w14:lumMod w14:val="95000"/>
                <w14:lumOff w14:val="5000"/>
              </w14:schemeClr>
            </w14:solidFill>
          </w14:textFill>
        </w:rPr>
      </w:pPr>
      <w:r>
        <w:rPr>
          <w:rFonts w:hint="eastAsia" w:ascii="仿宋" w:hAnsi="仿宋" w:eastAsia="仿宋"/>
          <w:b/>
          <w:color w:val="0D0D0D" w:themeColor="text1" w:themeTint="F2"/>
          <w:sz w:val="24"/>
          <w14:textFill>
            <w14:solidFill>
              <w14:schemeClr w14:val="tx1">
                <w14:lumMod w14:val="95000"/>
                <w14:lumOff w14:val="5000"/>
              </w14:schemeClr>
            </w14:solidFill>
          </w14:textFill>
        </w:rPr>
        <w:t>2.实施“333”培养模式</w:t>
      </w:r>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四川财经职业学院秉承“理财至诚 精业致能”校训，对多年来年探索与实践进行总结与提炼，提出了以职业信用养成为目标，贯彻诚信育人、实践育人、合作育人理念，衔接学生信用、准职业人信用、职业人信用3个层面，遵循职业信用意识形成、行为养成、能力生成3个阶段，实施行业与职教、学校与企业、课内与课外3个联动的高职财经人才职业信用培养“333”教育新模式（图4.1）。</w:t>
      </w:r>
    </w:p>
    <w:p>
      <w:pPr>
        <w:jc w:val="center"/>
        <w:rPr>
          <w:rFonts w:ascii="仿宋" w:hAnsi="仿宋" w:eastAsia="仿宋"/>
          <w:color w:val="0D0D0D" w:themeColor="text1" w:themeTint="F2"/>
          <w:sz w:val="28"/>
          <w:szCs w:val="28"/>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262755" cy="2827020"/>
            <wp:effectExtent l="0" t="0" r="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262755" cy="2827020"/>
                    </a:xfrm>
                    <a:prstGeom prst="rect">
                      <a:avLst/>
                    </a:prstGeom>
                    <a:noFill/>
                    <a:ln>
                      <a:noFill/>
                    </a:ln>
                  </pic:spPr>
                </pic:pic>
              </a:graphicData>
            </a:graphic>
          </wp:inline>
        </w:drawing>
      </w:r>
    </w:p>
    <w:p>
      <w:pPr>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图4.1  “333”教育新模式</w:t>
      </w:r>
    </w:p>
    <w:p>
      <w:pPr>
        <w:spacing w:line="360" w:lineRule="auto"/>
        <w:ind w:firstLine="482" w:firstLineChars="200"/>
        <w:rPr>
          <w:rFonts w:ascii="仿宋" w:hAnsi="仿宋" w:eastAsia="仿宋"/>
          <w:b/>
          <w:color w:val="0D0D0D" w:themeColor="text1" w:themeTint="F2"/>
          <w:sz w:val="24"/>
          <w14:textFill>
            <w14:solidFill>
              <w14:schemeClr w14:val="tx1">
                <w14:lumMod w14:val="95000"/>
                <w14:lumOff w14:val="5000"/>
              </w14:schemeClr>
            </w14:solidFill>
          </w14:textFill>
        </w:rPr>
      </w:pPr>
      <w:r>
        <w:rPr>
          <w:rFonts w:hint="eastAsia" w:ascii="仿宋" w:hAnsi="仿宋" w:eastAsia="仿宋"/>
          <w:b/>
          <w:color w:val="0D0D0D" w:themeColor="text1" w:themeTint="F2"/>
          <w:sz w:val="24"/>
          <w14:textFill>
            <w14:solidFill>
              <w14:schemeClr w14:val="tx1">
                <w14:lumMod w14:val="95000"/>
                <w14:lumOff w14:val="5000"/>
              </w14:schemeClr>
            </w14:solidFill>
          </w14:textFill>
        </w:rPr>
        <w:t>3.重构课程体系、优化培养方案</w:t>
      </w:r>
    </w:p>
    <w:p>
      <w:pPr>
        <w:spacing w:line="360" w:lineRule="auto"/>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b/>
          <w:color w:val="0D0D0D" w:themeColor="text1" w:themeTint="F2"/>
          <w:sz w:val="30"/>
          <w:szCs w:val="30"/>
          <w14:textFill>
            <w14:solidFill>
              <w14:schemeClr w14:val="tx1">
                <w14:lumMod w14:val="95000"/>
                <w14:lumOff w14:val="5000"/>
              </w14:schemeClr>
            </w14:solidFill>
          </w14:textFill>
        </w:rPr>
        <w:t xml:space="preserve"> </w:t>
      </w:r>
      <w:r>
        <w:rPr>
          <w:rFonts w:hint="eastAsia" w:ascii="仿宋" w:hAnsi="仿宋" w:eastAsia="仿宋"/>
          <w:b/>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olor w:val="0D0D0D" w:themeColor="text1" w:themeTint="F2"/>
          <w:sz w:val="24"/>
          <w14:textFill>
            <w14:solidFill>
              <w14:schemeClr w14:val="tx1">
                <w14:lumMod w14:val="95000"/>
                <w14:lumOff w14:val="5000"/>
              </w14:schemeClr>
            </w14:solidFill>
          </w14:textFill>
        </w:rPr>
        <w:t>（1）构建诚信与公共课、专业课、选修课“三融合”的特色课程体系</w:t>
      </w:r>
    </w:p>
    <w:p>
      <w:pPr>
        <w:spacing w:line="360" w:lineRule="auto"/>
        <w:ind w:firstLine="360" w:firstLineChars="15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遵循“系统设计，融合贯通”原则，将诚信与专业公共课、核心课、选修课渗透融合，通过新设诚信课程、新增诚信模块、诚信内容、新设诚信育人活动等，构建专业特色课程体系（图4.2）。如在会计专业新设财经法规与会计职业道德、纳税申报实训等7门专业特色课程，在会计基础、会计基础实训等6门课程中新增诚信模块，在形势与政策、大学生创业实践等15门课程中新增诚信内容，新设18类特色教学活动。</w:t>
      </w:r>
    </w:p>
    <w:p>
      <w:pPr>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540250" cy="296608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40250" cy="2966085"/>
                    </a:xfrm>
                    <a:prstGeom prst="rect">
                      <a:avLst/>
                    </a:prstGeom>
                    <a:noFill/>
                    <a:ln>
                      <a:noFill/>
                    </a:ln>
                  </pic:spPr>
                </pic:pic>
              </a:graphicData>
            </a:graphic>
          </wp:inline>
        </w:drawing>
      </w:r>
    </w:p>
    <w:p>
      <w:pPr>
        <w:pStyle w:val="6"/>
        <w:spacing w:after="0" w:line="400" w:lineRule="exact"/>
        <w:jc w:val="center"/>
        <w:rPr>
          <w:rFonts w:ascii="仿宋" w:hAnsi="仿宋" w:eastAsia="仿宋"/>
          <w:b/>
          <w:i w:val="0"/>
          <w:color w:val="0D0D0D" w:themeColor="text1" w:themeTint="F2"/>
          <w:sz w:val="21"/>
          <w:szCs w:val="21"/>
          <w14:textFill>
            <w14:solidFill>
              <w14:schemeClr w14:val="tx1">
                <w14:lumMod w14:val="95000"/>
                <w14:lumOff w14:val="5000"/>
              </w14:schemeClr>
            </w14:solidFill>
          </w14:textFill>
        </w:rPr>
      </w:pPr>
      <w:r>
        <w:rPr>
          <w:rFonts w:hint="eastAsia" w:ascii="仿宋" w:hAnsi="仿宋" w:eastAsia="仿宋"/>
          <w:b/>
          <w:i w:val="0"/>
          <w:color w:val="0D0D0D" w:themeColor="text1" w:themeTint="F2"/>
          <w:sz w:val="21"/>
          <w:szCs w:val="21"/>
          <w14:textFill>
            <w14:solidFill>
              <w14:schemeClr w14:val="tx1">
                <w14:lumMod w14:val="95000"/>
                <w14:lumOff w14:val="5000"/>
              </w14:schemeClr>
            </w14:solidFill>
          </w14:textFill>
        </w:rPr>
        <w:t>图4.2  专业特色课程体系</w:t>
      </w:r>
    </w:p>
    <w:p>
      <w:pPr>
        <w:spacing w:line="400" w:lineRule="exact"/>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同时，将职业信用教育融入全校11个专业人才培养标准、课程目标中，增加实践课时比例，固定设置诚信教育及实践课程学时为36学时（表4.1）。</w:t>
      </w:r>
    </w:p>
    <w:p>
      <w:pPr>
        <w:pStyle w:val="6"/>
        <w:spacing w:after="0" w:line="400" w:lineRule="exact"/>
        <w:jc w:val="center"/>
        <w:rPr>
          <w:rFonts w:ascii="仿宋" w:hAnsi="仿宋" w:eastAsia="仿宋"/>
          <w:b/>
          <w:i w:val="0"/>
          <w:color w:val="0D0D0D" w:themeColor="text1" w:themeTint="F2"/>
          <w:sz w:val="21"/>
          <w:szCs w:val="21"/>
          <w14:textFill>
            <w14:solidFill>
              <w14:schemeClr w14:val="tx1">
                <w14:lumMod w14:val="95000"/>
                <w14:lumOff w14:val="5000"/>
              </w14:schemeClr>
            </w14:solidFill>
          </w14:textFill>
        </w:rPr>
      </w:pPr>
      <w:r>
        <w:rPr>
          <w:rFonts w:hint="eastAsia" w:ascii="仿宋" w:hAnsi="仿宋" w:eastAsia="仿宋"/>
          <w:b/>
          <w:i w:val="0"/>
          <w:color w:val="0D0D0D" w:themeColor="text1" w:themeTint="F2"/>
          <w:sz w:val="21"/>
          <w:szCs w:val="21"/>
          <w14:textFill>
            <w14:solidFill>
              <w14:schemeClr w14:val="tx1">
                <w14:lumMod w14:val="95000"/>
                <w14:lumOff w14:val="5000"/>
              </w14:schemeClr>
            </w14:solidFill>
          </w14:textFill>
        </w:rPr>
        <w:t>表4.1 “三维共育”人才培养方案修订（部分）</w:t>
      </w:r>
    </w:p>
    <w:p>
      <w:pPr>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949825" cy="1962150"/>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53454" cy="1963563"/>
                    </a:xfrm>
                    <a:prstGeom prst="rect">
                      <a:avLst/>
                    </a:prstGeom>
                    <a:noFill/>
                    <a:ln>
                      <a:noFill/>
                    </a:ln>
                  </pic:spPr>
                </pic:pic>
              </a:graphicData>
            </a:graphic>
          </wp:inline>
        </w:drawing>
      </w:r>
    </w:p>
    <w:p>
      <w:pPr>
        <w:spacing w:line="400" w:lineRule="exact"/>
        <w:ind w:firstLine="240" w:firstLineChars="1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（2）创建“四层次、多专业、四对接”的园区型综合实训体系</w:t>
      </w:r>
    </w:p>
    <w:p>
      <w:pPr>
        <w:spacing w:line="400" w:lineRule="exact"/>
        <w:ind w:firstLine="360" w:firstLineChars="15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遵循财经职业人才能力递进培养规律，构建“岗位级、部门级、企业级、行业级”实训教学体系（图4.3）。</w:t>
      </w:r>
    </w:p>
    <w:p>
      <w:pPr>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3935730" cy="2162810"/>
            <wp:effectExtent l="0" t="0" r="762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35730" cy="2162810"/>
                    </a:xfrm>
                    <a:prstGeom prst="rect">
                      <a:avLst/>
                    </a:prstGeom>
                    <a:noFill/>
                    <a:ln>
                      <a:noFill/>
                    </a:ln>
                  </pic:spPr>
                </pic:pic>
              </a:graphicData>
            </a:graphic>
          </wp:inline>
        </w:drawing>
      </w:r>
    </w:p>
    <w:p>
      <w:pPr>
        <w:spacing w:line="360" w:lineRule="auto"/>
        <w:ind w:firstLine="316" w:firstLineChars="150"/>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图4.3  “四层次”实训教学体系</w:t>
      </w:r>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遵循“科学分类、合理布局；贴近现实、力求真实”的原则，模拟再现工业园区生态系统，将市场营销、工商企业管理、经济信息管理、电子商务、会计电算化、投资与理财、财务等11个专业的实训资源进行整合重构，建成了集政务服务、商务服务、现代服务、制造企业、金融服务、市场服务等六大功能类型32家实训单位的多专业综合实训基地—“川财工业园”（图4.4）。</w:t>
      </w:r>
    </w:p>
    <w:p>
      <w:pP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5279390" cy="209931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9390" cy="2099310"/>
                    </a:xfrm>
                    <a:prstGeom prst="rect">
                      <a:avLst/>
                    </a:prstGeom>
                    <a:noFill/>
                    <a:ln>
                      <a:noFill/>
                    </a:ln>
                  </pic:spPr>
                </pic:pic>
              </a:graphicData>
            </a:graphic>
          </wp:inline>
        </w:drawing>
      </w:r>
    </w:p>
    <w:p>
      <w:pPr>
        <w:pStyle w:val="28"/>
        <w:spacing w:beforeLines="0" w:line="360" w:lineRule="auto"/>
        <w:rPr>
          <w:rFonts w:ascii="仿宋" w:hAnsi="仿宋" w:eastAsia="仿宋"/>
          <w:b/>
          <w:color w:val="0D0D0D" w:themeColor="text1" w:themeTint="F2"/>
          <w:kern w:val="2"/>
          <w:szCs w:val="21"/>
          <w14:textFill>
            <w14:solidFill>
              <w14:schemeClr w14:val="tx1">
                <w14:lumMod w14:val="95000"/>
                <w14:lumOff w14:val="5000"/>
              </w14:schemeClr>
            </w14:solidFill>
          </w14:textFill>
        </w:rPr>
      </w:pPr>
      <w:r>
        <w:rPr>
          <w:rFonts w:hint="eastAsia" w:ascii="仿宋" w:hAnsi="仿宋" w:eastAsia="仿宋"/>
          <w:b/>
          <w:color w:val="0D0D0D" w:themeColor="text1" w:themeTint="F2"/>
          <w:kern w:val="2"/>
          <w:szCs w:val="21"/>
          <w14:textFill>
            <w14:solidFill>
              <w14:schemeClr w14:val="tx1">
                <w14:lumMod w14:val="95000"/>
                <w14:lumOff w14:val="5000"/>
              </w14:schemeClr>
            </w14:solidFill>
          </w14:textFill>
        </w:rPr>
        <w:t>图4.4  “川财工业园”多专业综合实训基地</w:t>
      </w:r>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按照“实训管理方式与社会化管理方式对接”、“实训队伍组建方式与企业团队组建方式对接”、“实训考核方式与企业考核方式对接”、“实训指导队伍与企业业务骨干对接”，实施高仿真的多专业综合实训管理运作。</w:t>
      </w:r>
    </w:p>
    <w:p>
      <w:pPr>
        <w:spacing w:line="360" w:lineRule="auto"/>
        <w:ind w:firstLine="360" w:firstLineChars="150"/>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（3）搭建“渗透式、常态化、联盟型”的育人平台</w:t>
      </w:r>
    </w:p>
    <w:p>
      <w:pPr>
        <w:spacing w:line="360" w:lineRule="auto"/>
        <w:ind w:firstLine="480" w:firstLineChars="200"/>
        <w:jc w:val="left"/>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遵循“应校制宜、凸显诚信”，将诚信品质培育与校园制度精神文化建设融为一体，搭建渗透式校园文化活动平台（图4.5）。</w:t>
      </w:r>
    </w:p>
    <w:p>
      <w:pP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556125" cy="1820545"/>
            <wp:effectExtent l="0" t="0" r="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56125" cy="1820545"/>
                    </a:xfrm>
                    <a:prstGeom prst="rect">
                      <a:avLst/>
                    </a:prstGeom>
                    <a:noFill/>
                    <a:ln>
                      <a:noFill/>
                    </a:ln>
                  </pic:spPr>
                </pic:pic>
              </a:graphicData>
            </a:graphic>
          </wp:inline>
        </w:drawing>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图4.5  校园文化活动平台</w:t>
      </w:r>
    </w:p>
    <w:p>
      <w:pPr>
        <w:spacing w:line="360" w:lineRule="auto"/>
        <w:ind w:firstLine="480" w:firstLineChars="200"/>
        <w:jc w:val="left"/>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学校通过校内举办、承办、组织参与等为学生搭建了不同等级技能竞赛平台，将每年的11月份作为学校技能竞赛月，面向专业举办会计手工做账、市场营销技能、商业银行综合柜台业务、电商运营技能、创新创意等19项覆盖全专业的技能赛项，将技能竞赛作为一个常态工作推进（图4.6）。</w:t>
      </w:r>
    </w:p>
    <w:p>
      <w:pP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5279390" cy="22263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9390" cy="2226310"/>
                    </a:xfrm>
                    <a:prstGeom prst="rect">
                      <a:avLst/>
                    </a:prstGeom>
                    <a:noFill/>
                    <a:ln>
                      <a:noFill/>
                    </a:ln>
                  </pic:spPr>
                </pic:pic>
              </a:graphicData>
            </a:graphic>
          </wp:inline>
        </w:drawing>
      </w:r>
    </w:p>
    <w:p>
      <w:pPr>
        <w:spacing w:line="360" w:lineRule="auto"/>
        <w:jc w:val="center"/>
        <w:rPr>
          <w:rFonts w:ascii="仿宋" w:hAnsi="仿宋" w:eastAsia="仿宋"/>
          <w:b/>
          <w:color w:val="0D0D0D" w:themeColor="text1" w:themeTint="F2"/>
          <w:szCs w:val="21"/>
          <w14:textFill>
            <w14:solidFill>
              <w14:schemeClr w14:val="tx1">
                <w14:lumMod w14:val="95000"/>
                <w14:lumOff w14:val="5000"/>
              </w14:schemeClr>
            </w14:solidFill>
          </w14:textFill>
        </w:rPr>
      </w:pPr>
      <w:r>
        <w:rPr>
          <w:rFonts w:hint="eastAsia" w:ascii="仿宋" w:hAnsi="仿宋" w:eastAsia="仿宋"/>
          <w:b/>
          <w:color w:val="0D0D0D" w:themeColor="text1" w:themeTint="F2"/>
          <w:szCs w:val="21"/>
          <w14:textFill>
            <w14:solidFill>
              <w14:schemeClr w14:val="tx1">
                <w14:lumMod w14:val="95000"/>
                <w14:lumOff w14:val="5000"/>
              </w14:schemeClr>
            </w14:solidFill>
          </w14:textFill>
        </w:rPr>
        <w:t>图4.6  技能竞赛平台</w:t>
      </w:r>
    </w:p>
    <w:p>
      <w:pPr>
        <w:topLinePunct/>
        <w:adjustRightInd w:val="0"/>
        <w:snapToGrid w:val="0"/>
        <w:spacing w:line="360" w:lineRule="auto"/>
        <w:ind w:firstLine="480" w:firstLineChars="200"/>
        <w:textAlignment w:val="bottom"/>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学校发起并牵头组建了“四川财经职业教育联盟”（图4.7），企业理事成员单位74个，院校理事单位71个，合作企业125个，建立起了互利共赢的校企合作长效机制。以联盟为平台，启动“企业文化进校园”系列活动，向学生传递职场中“诚信、合作、实践”的重要性和生动案例；师生共同走进企业，实地感受企业经营管理和文化氛围。</w:t>
      </w:r>
    </w:p>
    <w:p>
      <w:pPr>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253865" cy="24091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253865" cy="2409190"/>
                    </a:xfrm>
                    <a:prstGeom prst="rect">
                      <a:avLst/>
                    </a:prstGeom>
                    <a:noFill/>
                    <a:ln>
                      <a:noFill/>
                    </a:ln>
                  </pic:spPr>
                </pic:pic>
              </a:graphicData>
            </a:graphic>
          </wp:inline>
        </w:drawing>
      </w:r>
    </w:p>
    <w:p>
      <w:pPr>
        <w:pStyle w:val="28"/>
        <w:spacing w:beforeLines="0" w:line="360" w:lineRule="auto"/>
        <w:ind w:left="420"/>
        <w:rPr>
          <w:rFonts w:ascii="仿宋" w:hAnsi="仿宋" w:eastAsia="仿宋"/>
          <w:b/>
          <w:color w:val="0D0D0D" w:themeColor="text1" w:themeTint="F2"/>
          <w:kern w:val="2"/>
          <w:szCs w:val="21"/>
          <w14:textFill>
            <w14:solidFill>
              <w14:schemeClr w14:val="tx1">
                <w14:lumMod w14:val="95000"/>
                <w14:lumOff w14:val="5000"/>
              </w14:schemeClr>
            </w14:solidFill>
          </w14:textFill>
        </w:rPr>
      </w:pPr>
      <w:r>
        <w:rPr>
          <w:rFonts w:hint="eastAsia" w:ascii="仿宋" w:hAnsi="仿宋" w:eastAsia="仿宋"/>
          <w:b/>
          <w:color w:val="0D0D0D" w:themeColor="text1" w:themeTint="F2"/>
          <w:kern w:val="2"/>
          <w:szCs w:val="21"/>
          <w14:textFill>
            <w14:solidFill>
              <w14:schemeClr w14:val="tx1">
                <w14:lumMod w14:val="95000"/>
                <w14:lumOff w14:val="5000"/>
              </w14:schemeClr>
            </w14:solidFill>
          </w14:textFill>
        </w:rPr>
        <w:t>图4.7  四川财经职业教育联盟平台</w:t>
      </w:r>
    </w:p>
    <w:p>
      <w:pPr>
        <w:spacing w:line="360" w:lineRule="auto"/>
        <w:ind w:firstLine="482" w:firstLineChars="200"/>
        <w:rPr>
          <w:rFonts w:ascii="仿宋" w:hAnsi="仿宋" w:eastAsia="仿宋"/>
          <w:b/>
          <w:color w:val="0D0D0D" w:themeColor="text1" w:themeTint="F2"/>
          <w:sz w:val="24"/>
          <w14:textFill>
            <w14:solidFill>
              <w14:schemeClr w14:val="tx1">
                <w14:lumMod w14:val="95000"/>
                <w14:lumOff w14:val="5000"/>
              </w14:schemeClr>
            </w14:solidFill>
          </w14:textFill>
        </w:rPr>
      </w:pPr>
      <w:r>
        <w:rPr>
          <w:rFonts w:hint="eastAsia" w:ascii="仿宋" w:hAnsi="仿宋" w:eastAsia="仿宋"/>
          <w:b/>
          <w:color w:val="0D0D0D" w:themeColor="text1" w:themeTint="F2"/>
          <w:sz w:val="24"/>
          <w14:textFill>
            <w14:solidFill>
              <w14:schemeClr w14:val="tx1">
                <w14:lumMod w14:val="95000"/>
                <w14:lumOff w14:val="5000"/>
              </w14:schemeClr>
            </w14:solidFill>
          </w14:textFill>
        </w:rPr>
        <w:t>4.质量保障与过程管控</w:t>
      </w:r>
    </w:p>
    <w:p>
      <w:pPr>
        <w:spacing w:line="360" w:lineRule="auto"/>
        <w:ind w:firstLine="360" w:firstLineChars="150"/>
        <w:rPr>
          <w:rFonts w:ascii="仿宋" w:hAnsi="仿宋" w:eastAsia="仿宋" w:cs="微软雅黑"/>
          <w:bCs/>
          <w:color w:val="0D0D0D" w:themeColor="text1" w:themeTint="F2"/>
          <w:sz w:val="24"/>
          <w14:textFill>
            <w14:solidFill>
              <w14:schemeClr w14:val="tx1">
                <w14:lumMod w14:val="95000"/>
                <w14:lumOff w14:val="5000"/>
              </w14:schemeClr>
            </w14:solidFill>
          </w14:textFill>
        </w:rPr>
      </w:pPr>
      <w:bookmarkStart w:id="81" w:name="_Toc3661_WPSOffice_Level3"/>
      <w:bookmarkStart w:id="82" w:name="_Toc22200_WPSOffice_Level3"/>
      <w:r>
        <w:rPr>
          <w:rFonts w:hint="eastAsia" w:ascii="仿宋" w:hAnsi="仿宋" w:eastAsia="仿宋" w:cs="微软雅黑"/>
          <w:bCs/>
          <w:color w:val="0D0D0D" w:themeColor="text1" w:themeTint="F2"/>
          <w:sz w:val="24"/>
          <w14:textFill>
            <w14:solidFill>
              <w14:schemeClr w14:val="tx1">
                <w14:lumMod w14:val="95000"/>
                <w14:lumOff w14:val="5000"/>
              </w14:schemeClr>
            </w14:solidFill>
          </w14:textFill>
        </w:rPr>
        <w:t>（1）构建组织架构，明确部门归属</w:t>
      </w:r>
      <w:bookmarkEnd w:id="81"/>
      <w:bookmarkEnd w:id="82"/>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按照决策指挥、质量生成、资源建设、支持服务和监督控制等五个纵向系统构建组织构架（见图4.8）。</w:t>
      </w:r>
    </w:p>
    <w:p>
      <w:pP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5279390" cy="2051685"/>
            <wp:effectExtent l="0" t="0" r="0" b="5715"/>
            <wp:docPr id="53" name="图片 53" descr="四川财经体系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四川财经体系架构"/>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9390" cy="2051685"/>
                    </a:xfrm>
                    <a:prstGeom prst="rect">
                      <a:avLst/>
                    </a:prstGeom>
                    <a:noFill/>
                    <a:ln>
                      <a:noFill/>
                    </a:ln>
                  </pic:spPr>
                </pic:pic>
              </a:graphicData>
            </a:graphic>
          </wp:inline>
        </w:drawing>
      </w:r>
    </w:p>
    <w:p>
      <w:pPr>
        <w:spacing w:line="360" w:lineRule="auto"/>
        <w:jc w:val="center"/>
        <w:rPr>
          <w:rFonts w:ascii="仿宋" w:hAnsi="仿宋" w:eastAsia="仿宋" w:cs="微软雅黑"/>
          <w:b/>
          <w:bCs/>
          <w:color w:val="0D0D0D" w:themeColor="text1" w:themeTint="F2"/>
          <w:szCs w:val="21"/>
          <w14:textFill>
            <w14:solidFill>
              <w14:schemeClr w14:val="tx1">
                <w14:lumMod w14:val="95000"/>
                <w14:lumOff w14:val="5000"/>
              </w14:schemeClr>
            </w14:solidFill>
          </w14:textFill>
        </w:rPr>
      </w:pPr>
      <w:r>
        <w:rPr>
          <w:rFonts w:hint="eastAsia" w:ascii="仿宋" w:hAnsi="仿宋" w:eastAsia="仿宋" w:cs="微软雅黑"/>
          <w:b/>
          <w:bCs/>
          <w:color w:val="0D0D0D" w:themeColor="text1" w:themeTint="F2"/>
          <w:szCs w:val="21"/>
          <w14:textFill>
            <w14:solidFill>
              <w14:schemeClr w14:val="tx1">
                <w14:lumMod w14:val="95000"/>
                <w14:lumOff w14:val="5000"/>
              </w14:schemeClr>
            </w14:solidFill>
          </w14:textFill>
        </w:rPr>
        <w:t>图4.8  学校质量保证组织架构图</w:t>
      </w:r>
    </w:p>
    <w:p>
      <w:pPr>
        <w:spacing w:line="360" w:lineRule="auto"/>
        <w:ind w:firstLine="480" w:firstLineChars="200"/>
        <w:rPr>
          <w:rFonts w:ascii="仿宋" w:hAnsi="仿宋" w:eastAsia="仿宋" w:cs="微软雅黑"/>
          <w:bCs/>
          <w:color w:val="0D0D0D" w:themeColor="text1" w:themeTint="F2"/>
          <w:sz w:val="24"/>
          <w14:textFill>
            <w14:solidFill>
              <w14:schemeClr w14:val="tx1">
                <w14:lumMod w14:val="95000"/>
                <w14:lumOff w14:val="5000"/>
              </w14:schemeClr>
            </w14:solidFill>
          </w14:textFill>
        </w:rPr>
      </w:pPr>
      <w:bookmarkStart w:id="83" w:name="_Toc14673_WPSOffice_Level3"/>
      <w:bookmarkStart w:id="84" w:name="_Toc15120_WPSOffice_Level3"/>
      <w:r>
        <w:rPr>
          <w:rFonts w:hint="eastAsia" w:ascii="仿宋" w:hAnsi="仿宋" w:eastAsia="仿宋" w:cs="微软雅黑"/>
          <w:bCs/>
          <w:color w:val="0D0D0D" w:themeColor="text1" w:themeTint="F2"/>
          <w:sz w:val="24"/>
          <w14:textFill>
            <w14:solidFill>
              <w14:schemeClr w14:val="tx1">
                <w14:lumMod w14:val="95000"/>
                <w14:lumOff w14:val="5000"/>
              </w14:schemeClr>
            </w14:solidFill>
          </w14:textFill>
        </w:rPr>
        <w:t>（2）完善保证组织，确定诊改职责</w:t>
      </w:r>
      <w:bookmarkEnd w:id="83"/>
      <w:bookmarkEnd w:id="84"/>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依据质量保证组织架构，完善学校、部门、教研室（科）等三级质量管理组织(见图4.9)，为有效提高人才培养质量提供组织保证。</w:t>
      </w:r>
    </w:p>
    <w:p>
      <w:pPr>
        <w:pStyle w:val="27"/>
        <w:adjustRightInd w:val="0"/>
        <w:snapToGrid w:val="0"/>
        <w:spacing w:line="360" w:lineRule="auto"/>
        <w:ind w:firstLine="480" w:firstLineChars="200"/>
        <w:rPr>
          <w:rFonts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t>①一级组织:</w:t>
      </w:r>
    </w:p>
    <w:p>
      <w:pPr>
        <w:pStyle w:val="27"/>
        <w:adjustRightInd w:val="0"/>
        <w:snapToGrid w:val="0"/>
        <w:spacing w:line="360" w:lineRule="auto"/>
        <w:ind w:firstLine="482"/>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质量保证委员会：</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主  任：学院书记、院长</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副主任：副院长</w:t>
      </w:r>
    </w:p>
    <w:p>
      <w:pPr>
        <w:pStyle w:val="27"/>
        <w:adjustRightInd w:val="0"/>
        <w:snapToGrid w:val="0"/>
        <w:spacing w:line="360" w:lineRule="auto"/>
        <w:ind w:left="1"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成员：各部门负责人、教师代表、学生代表、企业代表、家长代表</w:t>
      </w:r>
    </w:p>
    <w:p>
      <w:pPr>
        <w:pStyle w:val="27"/>
        <w:widowControl w:val="0"/>
        <w:adjustRightInd w:val="0"/>
        <w:snapToGrid w:val="0"/>
        <w:spacing w:line="360" w:lineRule="auto"/>
        <w:ind w:firstLine="482"/>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职责:负责对学校质量保证体系建设进行总体规划，制定学校质量保证体系建设实施方案（以下简称实施方案）及年度工作计划，负责全校的质量管理工作及撰写学校年度质量报告，确定信息发布周期、频次和内容。下设质量管理办公室。</w:t>
      </w:r>
    </w:p>
    <w:p>
      <w:pPr>
        <w:pStyle w:val="27"/>
        <w:adjustRightInd w:val="0"/>
        <w:snapToGrid w:val="0"/>
        <w:spacing w:line="360" w:lineRule="auto"/>
        <w:ind w:firstLine="482"/>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质量管理办公室：</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主任：主任</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成员：校级质量管理员</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职责：负责学校实施方案和年度工作计划的组织实施工作，对各部门质量管理工作运行情况进行考核性诊断、监督、指导和协调工作，对发现的问题及时组织分析、研究与反馈，并上报学校质量管理委员会。</w:t>
      </w:r>
    </w:p>
    <w:p>
      <w:pPr>
        <w:pStyle w:val="27"/>
        <w:adjustRightInd w:val="0"/>
        <w:snapToGrid w:val="0"/>
        <w:spacing w:line="360" w:lineRule="auto"/>
        <w:ind w:firstLine="482"/>
        <w:rPr>
          <w:rFonts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t>②二级组织：</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组长：部门负责人</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成员：部门质量管理员</w:t>
      </w:r>
    </w:p>
    <w:p>
      <w:pPr>
        <w:pStyle w:val="27"/>
        <w:widowControl w:val="0"/>
        <w:adjustRightInd w:val="0"/>
        <w:snapToGrid w:val="0"/>
        <w:spacing w:line="360" w:lineRule="auto"/>
        <w:ind w:firstLine="482"/>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职责：负责制定本部门“十三五”建设规划、年度工作计划、部门质量保证体系建设与运行实施方案并组织实施，做好诊改资料的收集、汇总及总结，撰写专业、课程等项目年度质量报告。</w:t>
      </w:r>
    </w:p>
    <w:p>
      <w:pPr>
        <w:pStyle w:val="27"/>
        <w:adjustRightInd w:val="0"/>
        <w:snapToGrid w:val="0"/>
        <w:spacing w:line="360" w:lineRule="auto"/>
        <w:ind w:firstLine="482"/>
        <w:rPr>
          <w:rFonts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kern w:val="2"/>
          <w:sz w:val="24"/>
          <w:szCs w:val="24"/>
          <w14:textFill>
            <w14:solidFill>
              <w14:schemeClr w14:val="tx1">
                <w14:lumMod w14:val="95000"/>
                <w14:lumOff w14:val="5000"/>
              </w14:schemeClr>
            </w14:solidFill>
          </w14:textFill>
        </w:rPr>
        <w:t>③三级组织：</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组长：教研室（科）负责人（专业、课程等项目负责人、班级负责人）</w:t>
      </w:r>
    </w:p>
    <w:p>
      <w:pPr>
        <w:pStyle w:val="27"/>
        <w:adjustRightInd w:val="0"/>
        <w:snapToGrid w:val="0"/>
        <w:spacing w:line="360" w:lineRule="auto"/>
        <w:ind w:firstLine="480"/>
        <w:rPr>
          <w:rFonts w:ascii="仿宋" w:hAnsi="仿宋" w:eastAsia="仿宋" w:cs="微软雅黑"/>
          <w:color w:val="0D0D0D" w:themeColor="text1" w:themeTint="F2"/>
          <w:kern w:val="2"/>
          <w:sz w:val="24"/>
          <w:szCs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2"/>
          <w:sz w:val="24"/>
          <w:szCs w:val="24"/>
          <w14:textFill>
            <w14:solidFill>
              <w14:schemeClr w14:val="tx1">
                <w14:lumMod w14:val="95000"/>
                <w14:lumOff w14:val="5000"/>
              </w14:schemeClr>
            </w14:solidFill>
          </w14:textFill>
        </w:rPr>
        <w:t>成员：教研室（科）科室岗位人员（专业、课程等项目组成员、班级干部）</w:t>
      </w:r>
    </w:p>
    <w:p>
      <w:pPr>
        <w:spacing w:line="360" w:lineRule="auto"/>
        <w:ind w:firstLine="480" w:firstLineChars="200"/>
        <w:jc w:val="left"/>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职责：负责制定专业、课程等项目建设规划、年度建设计划、实施方案并组织实施，做好诊改工作资料的收集、汇总及总结，并撰写专业、课程等项目年度质量报告。</w:t>
      </w:r>
    </w:p>
    <w:p>
      <w:pPr>
        <w:jc w:val="center"/>
        <w:rPr>
          <w:rFonts w:ascii="仿宋" w:hAnsi="仿宋" w:eastAsia="仿宋"/>
          <w:color w:val="0D0D0D" w:themeColor="text1" w:themeTint="F2"/>
          <w14:textFill>
            <w14:solidFill>
              <w14:schemeClr w14:val="tx1">
                <w14:lumMod w14:val="95000"/>
                <w14:lumOff w14:val="5000"/>
              </w14:schemeClr>
            </w14:solidFill>
          </w14:textFill>
        </w:rPr>
      </w:pPr>
      <w:r>
        <w:rPr>
          <w:rFonts w:ascii="仿宋" w:hAnsi="仿宋" w:eastAsia="仿宋"/>
          <w:color w:val="0D0D0D" w:themeColor="text1" w:themeTint="F2"/>
          <w14:textFill>
            <w14:solidFill>
              <w14:schemeClr w14:val="tx1">
                <w14:lumMod w14:val="95000"/>
                <w14:lumOff w14:val="5000"/>
              </w14:schemeClr>
            </w14:solidFill>
          </w14:textFill>
        </w:rPr>
        <w:drawing>
          <wp:inline distT="0" distB="0" distL="0" distR="0">
            <wp:extent cx="4098290" cy="18478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102884" cy="1850180"/>
                    </a:xfrm>
                    <a:prstGeom prst="rect">
                      <a:avLst/>
                    </a:prstGeom>
                    <a:noFill/>
                    <a:ln>
                      <a:noFill/>
                    </a:ln>
                  </pic:spPr>
                </pic:pic>
              </a:graphicData>
            </a:graphic>
          </wp:inline>
        </w:drawing>
      </w:r>
    </w:p>
    <w:p>
      <w:pPr>
        <w:pStyle w:val="10"/>
        <w:spacing w:after="0" w:line="360" w:lineRule="auto"/>
        <w:ind w:left="0" w:leftChars="0" w:firstLine="0" w:firstLineChars="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s="微软雅黑"/>
          <w:b/>
          <w:bCs/>
          <w:color w:val="0D0D0D" w:themeColor="text1" w:themeTint="F2"/>
          <w:szCs w:val="21"/>
          <w14:textFill>
            <w14:solidFill>
              <w14:schemeClr w14:val="tx1">
                <w14:lumMod w14:val="95000"/>
                <w14:lumOff w14:val="5000"/>
              </w14:schemeClr>
            </w14:solidFill>
          </w14:textFill>
        </w:rPr>
        <w:t>图4.9  三级内部质量保证组织示意图</w:t>
      </w:r>
    </w:p>
    <w:p>
      <w:pPr>
        <w:spacing w:line="360" w:lineRule="auto"/>
        <w:ind w:firstLine="360" w:firstLineChars="150"/>
        <w:rPr>
          <w:rFonts w:ascii="仿宋" w:hAnsi="仿宋" w:eastAsia="仿宋"/>
          <w:color w:val="0D0D0D" w:themeColor="text1" w:themeTint="F2"/>
          <w:sz w:val="24"/>
          <w14:textFill>
            <w14:solidFill>
              <w14:schemeClr w14:val="tx1">
                <w14:lumMod w14:val="95000"/>
                <w14:lumOff w14:val="5000"/>
              </w14:schemeClr>
            </w14:solidFill>
          </w14:textFill>
        </w:rPr>
      </w:pPr>
      <w:bookmarkStart w:id="85" w:name="_Toc14673_WPSOffice_Level2"/>
      <w:bookmarkStart w:id="86" w:name="_Toc32158_WPSOffice_Level2"/>
      <w:r>
        <w:rPr>
          <w:rFonts w:hint="eastAsia" w:ascii="仿宋" w:hAnsi="仿宋" w:eastAsia="仿宋"/>
          <w:color w:val="0D0D0D" w:themeColor="text1" w:themeTint="F2"/>
          <w:sz w:val="24"/>
          <w14:textFill>
            <w14:solidFill>
              <w14:schemeClr w14:val="tx1">
                <w14:lumMod w14:val="95000"/>
                <w14:lumOff w14:val="5000"/>
              </w14:schemeClr>
            </w14:solidFill>
          </w14:textFill>
        </w:rPr>
        <w:t>（3）两链梳理服务，确立目标标准</w:t>
      </w:r>
      <w:bookmarkEnd w:id="85"/>
      <w:bookmarkEnd w:id="86"/>
    </w:p>
    <w:p>
      <w:pPr>
        <w:spacing w:line="360" w:lineRule="auto"/>
        <w:ind w:firstLine="480" w:firstLineChars="200"/>
        <w:rPr>
          <w:rFonts w:ascii="仿宋" w:hAnsi="仿宋" w:eastAsia="仿宋" w:cs="微软雅黑"/>
          <w:bCs/>
          <w:color w:val="0D0D0D" w:themeColor="text1" w:themeTint="F2"/>
          <w:sz w:val="24"/>
          <w14:textFill>
            <w14:solidFill>
              <w14:schemeClr w14:val="tx1">
                <w14:lumMod w14:val="95000"/>
                <w14:lumOff w14:val="5000"/>
              </w14:schemeClr>
            </w14:solidFill>
          </w14:textFill>
        </w:rPr>
      </w:pPr>
      <w:bookmarkStart w:id="87" w:name="_Toc7725_WPSOffice_Level3"/>
      <w:bookmarkStart w:id="88" w:name="_Toc19436_WPSOffice_Level3"/>
      <w:r>
        <w:rPr>
          <w:rFonts w:hint="eastAsia" w:ascii="仿宋" w:hAnsi="仿宋" w:eastAsia="仿宋"/>
          <w:color w:val="0D0D0D" w:themeColor="text1" w:themeTint="F2"/>
          <w:sz w:val="24"/>
          <w14:textFill>
            <w14:solidFill>
              <w14:schemeClr w14:val="tx1">
                <w14:lumMod w14:val="95000"/>
                <w14:lumOff w14:val="5000"/>
              </w14:schemeClr>
            </w14:solidFill>
          </w14:textFill>
        </w:rPr>
        <w:t>①</w:t>
      </w:r>
      <w:r>
        <w:rPr>
          <w:rFonts w:hint="eastAsia" w:ascii="仿宋" w:hAnsi="仿宋" w:eastAsia="仿宋" w:cs="微软雅黑"/>
          <w:bCs/>
          <w:color w:val="0D0D0D" w:themeColor="text1" w:themeTint="F2"/>
          <w:sz w:val="24"/>
          <w14:textFill>
            <w14:solidFill>
              <w14:schemeClr w14:val="tx1">
                <w14:lumMod w14:val="95000"/>
                <w14:lumOff w14:val="5000"/>
              </w14:schemeClr>
            </w14:solidFill>
          </w14:textFill>
        </w:rPr>
        <w:t>确立目标体系，形成目标链条</w:t>
      </w:r>
      <w:bookmarkEnd w:id="87"/>
      <w:bookmarkEnd w:id="88"/>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依据学校“十三五”规划建立一级目标体系，按照部门职能分解成二级目标体系及科室的三级目标体系，形成目标链条。目标链条中要求细化到每一级的年度目标。</w:t>
      </w:r>
    </w:p>
    <w:p>
      <w:pPr>
        <w:spacing w:line="360" w:lineRule="auto"/>
        <w:ind w:firstLine="480" w:firstLineChars="200"/>
        <w:rPr>
          <w:rFonts w:ascii="仿宋" w:hAnsi="仿宋" w:eastAsia="仿宋"/>
          <w:color w:val="0D0D0D" w:themeColor="text1" w:themeTint="F2"/>
          <w:sz w:val="24"/>
          <w14:textFill>
            <w14:solidFill>
              <w14:schemeClr w14:val="tx1">
                <w14:lumMod w14:val="95000"/>
                <w14:lumOff w14:val="5000"/>
              </w14:schemeClr>
            </w14:solidFill>
          </w14:textFill>
        </w:rPr>
      </w:pPr>
      <w:bookmarkStart w:id="89" w:name="_Toc24044"/>
      <w:bookmarkStart w:id="90" w:name="_Toc2580_WPSOffice_Level3"/>
      <w:bookmarkStart w:id="91" w:name="_Toc6611_WPSOffice_Level3"/>
      <w:bookmarkStart w:id="92" w:name="_Toc26119_WPSOffice_Level2"/>
      <w:r>
        <w:rPr>
          <w:rFonts w:ascii="仿宋" w:hAnsi="仿宋" w:eastAsia="仿宋"/>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olor w:val="0D0D0D" w:themeColor="text1" w:themeTint="F2"/>
          <w:sz w:val="24"/>
          <w14:textFill>
            <w14:solidFill>
              <w14:schemeClr w14:val="tx1">
                <w14:lumMod w14:val="95000"/>
                <w14:lumOff w14:val="5000"/>
              </w14:schemeClr>
            </w14:solidFill>
          </w14:textFill>
        </w:rPr>
        <w:t>②完善职能职责，形成标准</w:t>
      </w:r>
      <w:bookmarkEnd w:id="89"/>
      <w:r>
        <w:rPr>
          <w:rFonts w:hint="eastAsia" w:ascii="仿宋" w:hAnsi="仿宋" w:eastAsia="仿宋"/>
          <w:color w:val="0D0D0D" w:themeColor="text1" w:themeTint="F2"/>
          <w:sz w:val="24"/>
          <w14:textFill>
            <w14:solidFill>
              <w14:schemeClr w14:val="tx1">
                <w14:lumMod w14:val="95000"/>
                <w14:lumOff w14:val="5000"/>
              </w14:schemeClr>
            </w14:solidFill>
          </w14:textFill>
        </w:rPr>
        <w:t>链条</w:t>
      </w:r>
      <w:bookmarkEnd w:id="90"/>
      <w:bookmarkEnd w:id="91"/>
      <w:bookmarkEnd w:id="92"/>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依据学校的目标链条完善学校各部门工作职能，以教务处为例（见表4.2）。</w:t>
      </w:r>
    </w:p>
    <w:p>
      <w:pPr>
        <w:spacing w:line="360" w:lineRule="auto"/>
        <w:ind w:firstLine="420"/>
        <w:jc w:val="center"/>
        <w:rPr>
          <w:rFonts w:ascii="仿宋" w:hAnsi="仿宋" w:eastAsia="仿宋" w:cs="微软雅黑"/>
          <w:b/>
          <w:color w:val="0D0D0D" w:themeColor="text1" w:themeTint="F2"/>
          <w:szCs w:val="21"/>
          <w14:textFill>
            <w14:solidFill>
              <w14:schemeClr w14:val="tx1">
                <w14:lumMod w14:val="95000"/>
                <w14:lumOff w14:val="5000"/>
              </w14:schemeClr>
            </w14:solidFill>
          </w14:textFill>
        </w:rPr>
      </w:pPr>
      <w:r>
        <w:rPr>
          <w:rFonts w:hint="eastAsia" w:ascii="仿宋" w:hAnsi="仿宋" w:eastAsia="仿宋" w:cs="微软雅黑"/>
          <w:b/>
          <w:color w:val="0D0D0D" w:themeColor="text1" w:themeTint="F2"/>
          <w:szCs w:val="21"/>
          <w14:textFill>
            <w14:solidFill>
              <w14:schemeClr w14:val="tx1">
                <w14:lumMod w14:val="95000"/>
                <w14:lumOff w14:val="5000"/>
              </w14:schemeClr>
            </w14:solidFill>
          </w14:textFill>
        </w:rPr>
        <w:t>表4.2  教务处工作职能</w:t>
      </w:r>
    </w:p>
    <w:tbl>
      <w:tblPr>
        <w:tblStyle w:val="19"/>
        <w:tblpPr w:leftFromText="180" w:rightFromText="180" w:vertAnchor="text" w:horzAnchor="page" w:tblpXSpec="center" w:tblpY="78"/>
        <w:tblW w:w="8438" w:type="dxa"/>
        <w:tblInd w:w="0" w:type="dxa"/>
        <w:tblLayout w:type="fixed"/>
        <w:tblCellMar>
          <w:top w:w="0" w:type="dxa"/>
          <w:left w:w="108" w:type="dxa"/>
          <w:bottom w:w="0" w:type="dxa"/>
          <w:right w:w="108" w:type="dxa"/>
        </w:tblCellMar>
      </w:tblPr>
      <w:tblGrid>
        <w:gridCol w:w="654"/>
        <w:gridCol w:w="7784"/>
      </w:tblGrid>
      <w:tr>
        <w:tblPrEx>
          <w:tblLayout w:type="fixed"/>
          <w:tblCellMar>
            <w:top w:w="0" w:type="dxa"/>
            <w:left w:w="108" w:type="dxa"/>
            <w:bottom w:w="0" w:type="dxa"/>
            <w:right w:w="108" w:type="dxa"/>
          </w:tblCellMar>
        </w:tblPrEx>
        <w:trPr>
          <w:trHeight w:val="478"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b/>
                <w:bCs/>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b/>
                <w:bCs/>
                <w:color w:val="0D0D0D" w:themeColor="text1" w:themeTint="F2"/>
                <w:kern w:val="0"/>
                <w:szCs w:val="21"/>
                <w14:textFill>
                  <w14:solidFill>
                    <w14:schemeClr w14:val="tx1">
                      <w14:lumMod w14:val="95000"/>
                      <w14:lumOff w14:val="5000"/>
                    </w14:schemeClr>
                  </w14:solidFill>
                </w14:textFill>
              </w:rPr>
              <w:t>序号</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b/>
                <w:bCs/>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b/>
                <w:bCs/>
                <w:color w:val="0D0D0D" w:themeColor="text1" w:themeTint="F2"/>
                <w:kern w:val="0"/>
                <w:szCs w:val="21"/>
                <w14:textFill>
                  <w14:solidFill>
                    <w14:schemeClr w14:val="tx1">
                      <w14:lumMod w14:val="95000"/>
                      <w14:lumOff w14:val="5000"/>
                    </w14:schemeClr>
                  </w14:solidFill>
                </w14:textFill>
              </w:rPr>
              <w:t>部门职能</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kern w:val="0"/>
                <w:szCs w:val="21"/>
                <w14:textFill>
                  <w14:solidFill>
                    <w14:schemeClr w14:val="tx1">
                      <w14:lumMod w14:val="95000"/>
                      <w14:lumOff w14:val="5000"/>
                    </w14:schemeClr>
                  </w14:solidFill>
                </w14:textFill>
              </w:rPr>
              <w:t>负责贯彻落实党和国家的教育方针、政策和上级文件精神</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2</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负责拟定学校专业、课程、师资、实习实训基地等建设规划，学校批准后组织实施</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3</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负责制定（修订）学校教学管理各项规章制度及标准，学校批准后组织实施</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4</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负责教学运行管理工作，包括制定学校教学管理工作计划、教学安排、统筹教学资源等管理工作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5</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负责制定教材建设规划，组织开展教材研究，负责教材的订购、发放和管理工作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6</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负责学校公共教学场所整体规划设计，以及教学设备招标采购、验收、维护维修及日常使用管理等工作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7</w:t>
            </w:r>
          </w:p>
        </w:tc>
        <w:tc>
          <w:tcPr>
            <w:tcW w:w="7784" w:type="dxa"/>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负责学生学籍管理工作，包括学生档案建立、成绩管理、毕业生毕业资格审查、毕业证书的办理发放、学生档案的整理归档等工作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8</w:t>
            </w:r>
          </w:p>
        </w:tc>
        <w:tc>
          <w:tcPr>
            <w:tcW w:w="7784" w:type="dxa"/>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负责承办省内各类考试委托项目及组织学生参加各类国考、省考、职业资格考试等工作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9</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负责统筹师生参加国赛、省赛等各赛项选拔赛的组织工作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10</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负责组织国家人才培养工作状态数据采集平台的填报、数据汇总、审核及上报工作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11</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配合人事处组织教师职称评聘相关认证工作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12</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负责学校教学经费预算与支出的汇总、审核工作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13</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负责本部门的管理工作及质量保证工作</w:t>
            </w:r>
          </w:p>
        </w:tc>
      </w:tr>
      <w:tr>
        <w:tblPrEx>
          <w:tblLayout w:type="fixed"/>
          <w:tblCellMar>
            <w:top w:w="0" w:type="dxa"/>
            <w:left w:w="108" w:type="dxa"/>
            <w:bottom w:w="0" w:type="dxa"/>
            <w:right w:w="108" w:type="dxa"/>
          </w:tblCellMar>
        </w:tblPrEx>
        <w:trPr>
          <w:trHeight w:val="284" w:hRule="atLeast"/>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14</w:t>
            </w:r>
          </w:p>
        </w:tc>
        <w:tc>
          <w:tcPr>
            <w:tcW w:w="778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完成领导交办的工作</w:t>
            </w:r>
          </w:p>
        </w:tc>
      </w:tr>
    </w:tbl>
    <w:p>
      <w:pPr>
        <w:spacing w:line="360" w:lineRule="auto"/>
        <w:jc w:val="left"/>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 xml:space="preserve">    依据部门职能进行任务分解，形成部门各岗位职责，以教务处为例（见表4.3-表4.4）</w:t>
      </w:r>
    </w:p>
    <w:p>
      <w:pPr>
        <w:spacing w:line="360" w:lineRule="auto"/>
        <w:ind w:firstLine="420"/>
        <w:jc w:val="center"/>
        <w:rPr>
          <w:rFonts w:ascii="仿宋" w:hAnsi="仿宋" w:eastAsia="仿宋" w:cs="微软雅黑"/>
          <w:b/>
          <w:color w:val="0D0D0D" w:themeColor="text1" w:themeTint="F2"/>
          <w:szCs w:val="21"/>
          <w14:textFill>
            <w14:solidFill>
              <w14:schemeClr w14:val="tx1">
                <w14:lumMod w14:val="95000"/>
                <w14:lumOff w14:val="5000"/>
              </w14:schemeClr>
            </w14:solidFill>
          </w14:textFill>
        </w:rPr>
      </w:pPr>
      <w:r>
        <w:rPr>
          <w:rFonts w:hint="eastAsia" w:ascii="仿宋" w:hAnsi="仿宋" w:eastAsia="仿宋" w:cs="微软雅黑"/>
          <w:b/>
          <w:color w:val="0D0D0D" w:themeColor="text1" w:themeTint="F2"/>
          <w:szCs w:val="21"/>
          <w14:textFill>
            <w14:solidFill>
              <w14:schemeClr w14:val="tx1">
                <w14:lumMod w14:val="95000"/>
                <w14:lumOff w14:val="5000"/>
              </w14:schemeClr>
            </w14:solidFill>
          </w14:textFill>
        </w:rPr>
        <w:t>表4.3  教务处工作职能分解一览表</w:t>
      </w:r>
    </w:p>
    <w:tbl>
      <w:tblPr>
        <w:tblStyle w:val="19"/>
        <w:tblW w:w="8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8"/>
        <w:gridCol w:w="667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4" w:hRule="exac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bottom"/>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部门职能</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bottom"/>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工作职责</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bottom"/>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责任岗位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5" w:hRule="exac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组织</w:t>
            </w:r>
            <w:r>
              <w:rPr>
                <w:rFonts w:hint="eastAsia" w:ascii="仿宋" w:hAnsi="仿宋" w:eastAsia="仿宋" w:cs="微软雅黑"/>
                <w:bCs/>
                <w:color w:val="0D0D0D" w:themeColor="text1" w:themeTint="F2"/>
                <w:kern w:val="0"/>
                <w:szCs w:val="21"/>
                <w14:textFill>
                  <w14:solidFill>
                    <w14:schemeClr w14:val="tx1">
                      <w14:lumMod w14:val="95000"/>
                      <w14:lumOff w14:val="5000"/>
                    </w14:schemeClr>
                  </w14:solidFill>
                </w14:textFill>
              </w:rPr>
              <w:t>贯彻落实党和国家的教育方针、政策和上级文件精神</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0" w:hRule="exac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1</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kern w:val="0"/>
                <w:szCs w:val="21"/>
                <w14:textFill>
                  <w14:solidFill>
                    <w14:schemeClr w14:val="tx1">
                      <w14:lumMod w14:val="95000"/>
                      <w14:lumOff w14:val="5000"/>
                    </w14:schemeClr>
                  </w14:solidFill>
                </w14:textFill>
              </w:rPr>
              <w:t>贯彻落实党和国家的教育方针、政策和上级文件精神</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非处长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0" w:hRule="atLeas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2</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组织拟定学校专业、课程、师资、实习实训基地等建设规划，学校批准后组织实施</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2" w:hRule="atLeas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2</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参与拟定学校专业、课程、师资、实习实训基地等建设规划，学校批准后组织组织落实相关工作</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副处长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2" w:hRule="atLeas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2</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参加拟定学校专业、课程、师资、实习实训基地等建设规划，学校批准后组织落实相关具体工作</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5" w:hRule="exact"/>
          <w:jc w:val="center"/>
        </w:trPr>
        <w:tc>
          <w:tcPr>
            <w:tcW w:w="1078"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2</w:t>
            </w:r>
          </w:p>
        </w:tc>
        <w:tc>
          <w:tcPr>
            <w:tcW w:w="6670"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left"/>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参加拟定学校专业、课程、师资、实习实训基地等建设规划，学校批准后落实相关具体工作</w:t>
            </w:r>
          </w:p>
        </w:tc>
        <w:tc>
          <w:tcPr>
            <w:tcW w:w="1011"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Cs w:val="21"/>
                <w14:textFill>
                  <w14:solidFill>
                    <w14:schemeClr w14:val="tx1">
                      <w14:lumMod w14:val="95000"/>
                      <w14:lumOff w14:val="5000"/>
                    </w14:schemeClr>
                  </w14:solidFill>
                </w14:textFill>
              </w:rPr>
              <w:t>干事</w:t>
            </w:r>
          </w:p>
        </w:tc>
      </w:tr>
    </w:tbl>
    <w:p>
      <w:pPr>
        <w:spacing w:line="400" w:lineRule="exact"/>
        <w:ind w:firstLine="420"/>
        <w:jc w:val="center"/>
        <w:rPr>
          <w:rFonts w:ascii="仿宋" w:hAnsi="仿宋" w:eastAsia="仿宋" w:cs="微软雅黑"/>
          <w:b/>
          <w:color w:val="0D0D0D" w:themeColor="text1" w:themeTint="F2"/>
          <w:szCs w:val="21"/>
          <w14:textFill>
            <w14:solidFill>
              <w14:schemeClr w14:val="tx1">
                <w14:lumMod w14:val="95000"/>
                <w14:lumOff w14:val="5000"/>
              </w14:schemeClr>
            </w14:solidFill>
          </w14:textFill>
        </w:rPr>
      </w:pPr>
      <w:r>
        <w:rPr>
          <w:rFonts w:hint="eastAsia" w:ascii="仿宋" w:hAnsi="仿宋" w:eastAsia="仿宋" w:cs="微软雅黑"/>
          <w:b/>
          <w:color w:val="0D0D0D" w:themeColor="text1" w:themeTint="F2"/>
          <w:szCs w:val="21"/>
          <w14:textFill>
            <w14:solidFill>
              <w14:schemeClr w14:val="tx1">
                <w14:lumMod w14:val="95000"/>
                <w14:lumOff w14:val="5000"/>
              </w14:schemeClr>
            </w14:solidFill>
          </w14:textFill>
        </w:rPr>
        <w:t>表4.4  教务处各岗位工作职责</w:t>
      </w:r>
    </w:p>
    <w:tbl>
      <w:tblPr>
        <w:tblStyle w:val="19"/>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5"/>
        <w:gridCol w:w="7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8" w:hRule="atLeast"/>
          <w:jc w:val="center"/>
        </w:trPr>
        <w:tc>
          <w:tcPr>
            <w:tcW w:w="1135"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bottom"/>
          </w:tcPr>
          <w:p>
            <w:pPr>
              <w:widowControl/>
              <w:jc w:val="center"/>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岗位名称</w:t>
            </w:r>
          </w:p>
        </w:tc>
        <w:tc>
          <w:tcPr>
            <w:tcW w:w="7704"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bottom"/>
          </w:tcPr>
          <w:p>
            <w:pPr>
              <w:widowControl/>
              <w:jc w:val="center"/>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4" w:hRule="exact"/>
          <w:jc w:val="center"/>
        </w:trPr>
        <w:tc>
          <w:tcPr>
            <w:tcW w:w="1135"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处长</w:t>
            </w:r>
          </w:p>
        </w:tc>
        <w:tc>
          <w:tcPr>
            <w:tcW w:w="7704"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tcPr>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1.组织</w:t>
            </w:r>
            <w:r>
              <w:rPr>
                <w:rFonts w:hint="eastAsia" w:ascii="仿宋" w:hAnsi="仿宋" w:eastAsia="仿宋" w:cs="微软雅黑"/>
                <w:bCs/>
                <w:color w:val="0D0D0D" w:themeColor="text1" w:themeTint="F2"/>
                <w:kern w:val="0"/>
                <w:sz w:val="21"/>
                <w:szCs w:val="21"/>
                <w14:textFill>
                  <w14:solidFill>
                    <w14:schemeClr w14:val="tx1">
                      <w14:lumMod w14:val="95000"/>
                      <w14:lumOff w14:val="5000"/>
                    </w14:schemeClr>
                  </w14:solidFill>
                </w14:textFill>
              </w:rPr>
              <w:t>贯彻落实党和国家的教育方针、政策和上级文件精神</w:t>
            </w:r>
          </w:p>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2.组织拟定学校专业、课程、师资、实习实训基地等建设规划，学校批准后组织实施</w:t>
            </w:r>
          </w:p>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27" w:hRule="exact"/>
          <w:jc w:val="center"/>
        </w:trPr>
        <w:tc>
          <w:tcPr>
            <w:tcW w:w="1135"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副处长</w:t>
            </w:r>
          </w:p>
        </w:tc>
        <w:tc>
          <w:tcPr>
            <w:tcW w:w="7704"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tcPr>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1.</w:t>
            </w:r>
            <w:r>
              <w:rPr>
                <w:rFonts w:hint="eastAsia" w:ascii="仿宋" w:hAnsi="仿宋" w:eastAsia="仿宋" w:cs="微软雅黑"/>
                <w:bCs/>
                <w:color w:val="0D0D0D" w:themeColor="text1" w:themeTint="F2"/>
                <w:kern w:val="0"/>
                <w:sz w:val="21"/>
                <w:szCs w:val="21"/>
                <w14:textFill>
                  <w14:solidFill>
                    <w14:schemeClr w14:val="tx1">
                      <w14:lumMod w14:val="95000"/>
                      <w14:lumOff w14:val="5000"/>
                    </w14:schemeClr>
                  </w14:solidFill>
                </w14:textFill>
              </w:rPr>
              <w:t>贯彻落实党和国家的教育方针、政策和上级文件精神</w:t>
            </w:r>
          </w:p>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2.参与拟定学校专业、课程、师资、实习实训基地等建设规划，学校批准后组织组织落实相关工作</w:t>
            </w:r>
          </w:p>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 w:hRule="exact"/>
          <w:jc w:val="center"/>
        </w:trPr>
        <w:tc>
          <w:tcPr>
            <w:tcW w:w="1135"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vAlign w:val="center"/>
          </w:tcPr>
          <w:p>
            <w:pPr>
              <w:widowControl/>
              <w:jc w:val="center"/>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w:t>
            </w:r>
          </w:p>
        </w:tc>
        <w:tc>
          <w:tcPr>
            <w:tcW w:w="7704" w:type="dxa"/>
            <w:tcBorders>
              <w:top w:val="single" w:color="auto" w:sz="4" w:space="0"/>
              <w:left w:val="single" w:color="auto" w:sz="4" w:space="0"/>
              <w:bottom w:val="single" w:color="auto" w:sz="4" w:space="0"/>
              <w:right w:val="single" w:color="auto" w:sz="4" w:space="0"/>
            </w:tcBorders>
            <w:shd w:val="clear" w:color="auto" w:fill="auto"/>
            <w:tcMar>
              <w:top w:w="15" w:type="dxa"/>
              <w:left w:w="81" w:type="dxa"/>
              <w:bottom w:w="0" w:type="dxa"/>
              <w:right w:w="81" w:type="dxa"/>
            </w:tcMar>
          </w:tcPr>
          <w:p>
            <w:pPr>
              <w:widowControl/>
              <w:rPr>
                <w:rFonts w:ascii="仿宋" w:hAnsi="仿宋" w:eastAsia="仿宋" w:cs="微软雅黑"/>
                <w:color w:val="0D0D0D" w:themeColor="text1" w:themeTint="F2"/>
                <w:kern w:val="0"/>
                <w:sz w:val="21"/>
                <w:szCs w:val="21"/>
                <w14:textFill>
                  <w14:solidFill>
                    <w14:schemeClr w14:val="tx1">
                      <w14:lumMod w14:val="95000"/>
                      <w14:lumOff w14:val="5000"/>
                    </w14:schemeClr>
                  </w14:solidFill>
                </w14:textFill>
              </w:rPr>
            </w:pPr>
            <w:r>
              <w:rPr>
                <w:rFonts w:hint="eastAsia" w:ascii="仿宋" w:hAnsi="仿宋" w:eastAsia="仿宋" w:cs="微软雅黑"/>
                <w:color w:val="0D0D0D" w:themeColor="text1" w:themeTint="F2"/>
                <w:kern w:val="0"/>
                <w:sz w:val="21"/>
                <w:szCs w:val="21"/>
                <w14:textFill>
                  <w14:solidFill>
                    <w14:schemeClr w14:val="tx1">
                      <w14:lumMod w14:val="95000"/>
                      <w14:lumOff w14:val="5000"/>
                    </w14:schemeClr>
                  </w14:solidFill>
                </w14:textFill>
              </w:rPr>
              <w:t>…</w:t>
            </w:r>
          </w:p>
        </w:tc>
      </w:tr>
    </w:tbl>
    <w:p>
      <w:pPr>
        <w:spacing w:line="360" w:lineRule="auto"/>
        <w:ind w:firstLine="480" w:firstLineChars="200"/>
        <w:rPr>
          <w:rFonts w:ascii="仿宋" w:hAnsi="仿宋" w:eastAsia="仿宋" w:cs="微软雅黑"/>
          <w:bCs/>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bCs/>
          <w:color w:val="0D0D0D" w:themeColor="text1" w:themeTint="F2"/>
          <w:sz w:val="24"/>
          <w14:textFill>
            <w14:solidFill>
              <w14:schemeClr w14:val="tx1">
                <w14:lumMod w14:val="95000"/>
                <w14:lumOff w14:val="5000"/>
              </w14:schemeClr>
            </w14:solidFill>
          </w14:textFill>
        </w:rPr>
        <w:t>（4）建立关于专业、课程、教师、学生等方面的工作标准</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①</w:t>
      </w: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完善专业标准</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根据学校“十三五”专业建设规划，制定完善专业标准体系。主要包括专业建设标准、专业教学标准（专业人才培养方案）重点专业遴选标准、新开专业和终止开设专业标准等。</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②</w:t>
      </w: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完善课程标准</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根据学校“十三五”专业建设规划，制定完善课程标准体系。主要包括课程建设标准、课程标准、精品课程遴选标准等。</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③</w:t>
      </w: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完善教师发展标准</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根据师资队伍建设规划和相关政策，由教务处统筹编制新进教师、教学新星、教坛英才、教学名师、功勋教师、专业带头人聘用考核标准等教师职业发展标准。制定企业兼职教师聘用与考核标准，并与职称评审、岗位竞聘和绩效考核融为一体。</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由质量管理办公室组织制定教学主要环节质量标准、教师教学质量考核标准等。</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宋体"/>
          <w:color w:val="0D0D0D" w:themeColor="text1" w:themeTint="F2"/>
          <w:sz w:val="24"/>
          <w14:textFill>
            <w14:solidFill>
              <w14:schemeClr w14:val="tx1">
                <w14:lumMod w14:val="95000"/>
                <w14:lumOff w14:val="5000"/>
              </w14:schemeClr>
            </w14:solidFill>
          </w14:textFill>
        </w:rPr>
        <w:t>④</w:t>
      </w: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完善学生发展标准</w:t>
      </w:r>
    </w:p>
    <w:p>
      <w:pPr>
        <w:spacing w:line="360" w:lineRule="auto"/>
        <w:ind w:firstLine="480" w:firstLineChars="200"/>
        <w:rPr>
          <w:rFonts w:ascii="仿宋" w:hAnsi="仿宋" w:eastAsia="仿宋" w:cs="微软雅黑"/>
          <w:color w:val="0D0D0D" w:themeColor="text1" w:themeTint="F2"/>
          <w:sz w:val="24"/>
          <w14:textFill>
            <w14:solidFill>
              <w14:schemeClr w14:val="tx1">
                <w14:lumMod w14:val="95000"/>
                <w14:lumOff w14:val="5000"/>
              </w14:schemeClr>
            </w14:solidFill>
          </w14:textFill>
        </w:rPr>
      </w:pPr>
      <w:r>
        <w:rPr>
          <w:rFonts w:hint="eastAsia" w:ascii="仿宋" w:hAnsi="仿宋" w:eastAsia="仿宋" w:cs="微软雅黑"/>
          <w:color w:val="0D0D0D" w:themeColor="text1" w:themeTint="F2"/>
          <w:sz w:val="24"/>
          <w14:textFill>
            <w14:solidFill>
              <w14:schemeClr w14:val="tx1">
                <w14:lumMod w14:val="95000"/>
                <w14:lumOff w14:val="5000"/>
              </w14:schemeClr>
            </w14:solidFill>
          </w14:textFill>
        </w:rPr>
        <w:t>根据学生全面发展规划和相关文件精神，由学工处统筹安排，制定涵盖思想政治素质、专业能力、身心健康素质及社会实践能力等要素的学生全面发展标准。</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93" w:name="_Toc533491216"/>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（二）优化培养方案，提升人才质量</w:t>
      </w:r>
      <w:bookmarkEnd w:id="93"/>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从2018年3月-7月，教务处牵头、5个教学系共同参与了2018级人才培养方案的优化、制定工作。本次人才培养方案的制定工作通过企业调研、研读国家教学教学标准和顶岗实习标准，共制定出12个专业各级各类人才培养方案26个，是历年来调整力度最大的。此次工作为我院适应财经商贸环境变化、专业转型、提升人才培养质量奠定了基础。</w:t>
      </w:r>
    </w:p>
    <w:p>
      <w:pPr>
        <w:spacing w:line="360" w:lineRule="auto"/>
        <w:ind w:firstLine="480" w:firstLineChars="200"/>
        <w:rPr>
          <w:rFonts w:ascii="仿宋" w:hAnsi="仿宋" w:eastAsia="仿宋"/>
          <w:sz w:val="24"/>
        </w:rPr>
      </w:pPr>
      <w:r>
        <w:rPr>
          <w:rFonts w:hint="eastAsia" w:ascii="仿宋" w:hAnsi="仿宋" w:eastAsia="仿宋"/>
          <w:sz w:val="24"/>
        </w:rPr>
        <w:t>其中市场营销专业新增了新媒体、新零售等方面的课程，移动商务专业结合企业人才紧缺状况，确立了内容与活动策划、新媒体运营、设计美工等三个热门培养方向，以专业核心课程为主轴，专业选修与专业实训为两翼，辅助专业学生在自身个性与兴趣基础上，完成方向选择与学习。</w:t>
      </w:r>
    </w:p>
    <w:p>
      <w:pPr>
        <w:shd w:val="clear" w:color="auto" w:fill="FFFFFF"/>
        <w:spacing w:line="360" w:lineRule="auto"/>
        <w:ind w:firstLine="480" w:firstLineChars="200"/>
        <w:rPr>
          <w:rFonts w:ascii="仿宋" w:hAnsi="仿宋" w:eastAsia="仿宋" w:cs="Arial"/>
          <w:kern w:val="0"/>
          <w:sz w:val="24"/>
        </w:rPr>
      </w:pPr>
      <w:r>
        <w:rPr>
          <w:rFonts w:hint="eastAsia" w:ascii="仿宋" w:hAnsi="仿宋" w:eastAsia="仿宋"/>
          <w:sz w:val="24"/>
        </w:rPr>
        <w:t>税务专业加入对学生大数据分析能力要求，将纳税筹划与纳税检查案例分析开设时间对调，并将财务报表分析列入专业核心课。</w:t>
      </w:r>
      <w:r>
        <w:rPr>
          <w:rFonts w:hint="eastAsia" w:ascii="仿宋" w:hAnsi="仿宋" w:eastAsia="仿宋" w:cs="Arial"/>
          <w:kern w:val="0"/>
          <w:sz w:val="24"/>
        </w:rPr>
        <w:t>金融专业将数据统计列入必修课，将证券投资分析列入必修课程，适应银行网点智能化和综合化的要求，将传统的银行综合柜台业务课程改造为商业银行综合业务实训，购买最新综合业务实训练平台和竞赛平台，对原有课程进行改造。</w:t>
      </w:r>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财务管理专业强化“财务数据”模块和“信息技术”模块的学习，审计专业重视《</w:t>
      </w:r>
      <w:r>
        <w:rPr>
          <w:rFonts w:ascii="仿宋" w:hAnsi="仿宋" w:eastAsia="仿宋" w:cstheme="minorBidi"/>
          <w:sz w:val="24"/>
        </w:rPr>
        <w:t>内部控制》</w:t>
      </w:r>
      <w:r>
        <w:rPr>
          <w:rFonts w:hint="eastAsia" w:ascii="仿宋" w:hAnsi="仿宋" w:eastAsia="仿宋" w:cstheme="minorBidi"/>
          <w:sz w:val="24"/>
        </w:rPr>
        <w:t>课程在</w:t>
      </w:r>
      <w:r>
        <w:rPr>
          <w:rFonts w:ascii="仿宋" w:hAnsi="仿宋" w:eastAsia="仿宋" w:cstheme="minorBidi"/>
          <w:sz w:val="24"/>
        </w:rPr>
        <w:t>专业课程体系中的基础课地位，回应</w:t>
      </w:r>
      <w:r>
        <w:rPr>
          <w:rFonts w:hint="eastAsia" w:ascii="仿宋" w:hAnsi="仿宋" w:eastAsia="仿宋" w:cstheme="minorBidi"/>
          <w:sz w:val="24"/>
        </w:rPr>
        <w:t>企事业单位的</w:t>
      </w:r>
      <w:r>
        <w:rPr>
          <w:rFonts w:ascii="仿宋" w:hAnsi="仿宋" w:eastAsia="仿宋" w:cstheme="minorBidi"/>
          <w:sz w:val="24"/>
        </w:rPr>
        <w:t>内部治理热点</w:t>
      </w:r>
      <w:r>
        <w:rPr>
          <w:rFonts w:hint="eastAsia" w:ascii="仿宋" w:hAnsi="仿宋" w:eastAsia="仿宋" w:cstheme="minorBidi"/>
          <w:sz w:val="24"/>
        </w:rPr>
        <w:t>。会计专业（中澳）根据澳方的专业培养计划要求，2018年本专业调整并完善了中澳双方核心课程的设置。目前已建成24门澳方专业课程库。达到了市场对学生职业能力提升及专业培养方案与国际接轨的目标。</w:t>
      </w:r>
    </w:p>
    <w:p>
      <w:pPr>
        <w:spacing w:line="360" w:lineRule="auto"/>
        <w:ind w:firstLine="480" w:firstLineChars="200"/>
        <w:rPr>
          <w:rFonts w:ascii="仿宋" w:hAnsi="仿宋" w:eastAsia="仿宋"/>
          <w:sz w:val="24"/>
        </w:rPr>
      </w:pPr>
      <w:r>
        <w:rPr>
          <w:rFonts w:hint="eastAsia" w:ascii="仿宋" w:hAnsi="仿宋" w:eastAsia="仿宋"/>
          <w:sz w:val="24"/>
        </w:rPr>
        <w:t>会计专业将“业务流程介绍及其风险管控”的相关内容嵌入到传统会计核算教学中，让学生建立起“业务与财务融合”的基本理念，增强学生对业务流程、风险防控的认识。</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94" w:name="_Toc533491217"/>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（三）优化课程体系，规范实习管理</w:t>
      </w:r>
      <w:bookmarkEnd w:id="94"/>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为帮助学生认知企业、为后续专业课程打基础，财管、会计（中澳）专业首次开设《企业全息认知》。为提升审计专业学生的专业知识和技能水平，开发了新课程《专项审计》。结合院级科研项目</w:t>
      </w:r>
      <w:r>
        <w:rPr>
          <w:rFonts w:ascii="仿宋" w:hAnsi="仿宋" w:eastAsia="仿宋" w:cstheme="minorBidi"/>
          <w:sz w:val="24"/>
        </w:rPr>
        <w:t>《审计思维训练理论的应用研究》的推进，编写</w:t>
      </w:r>
      <w:r>
        <w:rPr>
          <w:rFonts w:hint="eastAsia" w:ascii="仿宋" w:hAnsi="仿宋" w:eastAsia="仿宋" w:cstheme="minorBidi"/>
          <w:sz w:val="24"/>
        </w:rPr>
        <w:t>了</w:t>
      </w:r>
      <w:r>
        <w:rPr>
          <w:rFonts w:ascii="仿宋" w:hAnsi="仿宋" w:eastAsia="仿宋" w:cstheme="minorBidi"/>
          <w:sz w:val="24"/>
        </w:rPr>
        <w:t>《审计思维训练》</w:t>
      </w:r>
      <w:r>
        <w:rPr>
          <w:rFonts w:hint="eastAsia" w:ascii="仿宋" w:hAnsi="仿宋" w:eastAsia="仿宋" w:cstheme="minorBidi"/>
          <w:sz w:val="24"/>
        </w:rPr>
        <w:t>讲义和</w:t>
      </w:r>
      <w:r>
        <w:rPr>
          <w:rFonts w:ascii="仿宋" w:hAnsi="仿宋" w:eastAsia="仿宋" w:cstheme="minorBidi"/>
          <w:sz w:val="24"/>
        </w:rPr>
        <w:t>配套习题</w:t>
      </w:r>
      <w:r>
        <w:rPr>
          <w:rFonts w:hint="eastAsia" w:ascii="仿宋" w:hAnsi="仿宋" w:eastAsia="仿宋" w:cstheme="minorBidi"/>
          <w:sz w:val="24"/>
        </w:rPr>
        <w:t>，细化和</w:t>
      </w:r>
      <w:r>
        <w:rPr>
          <w:rFonts w:ascii="仿宋" w:hAnsi="仿宋" w:eastAsia="仿宋" w:cstheme="minorBidi"/>
          <w:sz w:val="24"/>
        </w:rPr>
        <w:t>完善审计思维训练的</w:t>
      </w:r>
      <w:r>
        <w:rPr>
          <w:rFonts w:hint="eastAsia" w:ascii="仿宋" w:hAnsi="仿宋" w:eastAsia="仿宋" w:cstheme="minorBidi"/>
          <w:sz w:val="24"/>
        </w:rPr>
        <w:t>方案</w:t>
      </w:r>
      <w:r>
        <w:rPr>
          <w:rFonts w:ascii="仿宋" w:hAnsi="仿宋" w:eastAsia="仿宋" w:cstheme="minorBidi"/>
          <w:sz w:val="24"/>
        </w:rPr>
        <w:t>，</w:t>
      </w:r>
      <w:r>
        <w:rPr>
          <w:rFonts w:hint="eastAsia" w:ascii="仿宋" w:hAnsi="仿宋" w:eastAsia="仿宋" w:cstheme="minorBidi"/>
          <w:sz w:val="24"/>
        </w:rPr>
        <w:t>进一步落实审计</w:t>
      </w:r>
      <w:r>
        <w:rPr>
          <w:rFonts w:ascii="仿宋" w:hAnsi="仿宋" w:eastAsia="仿宋" w:cstheme="minorBidi"/>
          <w:sz w:val="24"/>
        </w:rPr>
        <w:t>思维训练的</w:t>
      </w:r>
      <w:r>
        <w:rPr>
          <w:rFonts w:hint="eastAsia" w:ascii="仿宋" w:hAnsi="仿宋" w:eastAsia="仿宋" w:cstheme="minorBidi"/>
          <w:sz w:val="24"/>
        </w:rPr>
        <w:t>措施</w:t>
      </w:r>
      <w:r>
        <w:rPr>
          <w:rFonts w:ascii="仿宋" w:hAnsi="仿宋" w:eastAsia="仿宋" w:cstheme="minorBidi"/>
          <w:sz w:val="24"/>
        </w:rPr>
        <w:t>，</w:t>
      </w:r>
      <w:r>
        <w:rPr>
          <w:rFonts w:hint="eastAsia" w:ascii="仿宋" w:hAnsi="仿宋" w:eastAsia="仿宋" w:cstheme="minorBidi"/>
          <w:sz w:val="24"/>
        </w:rPr>
        <w:t>提高</w:t>
      </w:r>
      <w:r>
        <w:rPr>
          <w:rFonts w:ascii="仿宋" w:hAnsi="仿宋" w:eastAsia="仿宋" w:cstheme="minorBidi"/>
          <w:sz w:val="24"/>
        </w:rPr>
        <w:t>审计思维训练的有效性，</w:t>
      </w:r>
      <w:r>
        <w:rPr>
          <w:rFonts w:hint="eastAsia" w:ascii="仿宋" w:hAnsi="仿宋" w:eastAsia="仿宋" w:cstheme="minorBidi"/>
          <w:sz w:val="24"/>
        </w:rPr>
        <w:t>增强</w:t>
      </w:r>
      <w:r>
        <w:rPr>
          <w:rFonts w:ascii="仿宋" w:hAnsi="仿宋" w:eastAsia="仿宋" w:cstheme="minorBidi"/>
          <w:sz w:val="24"/>
        </w:rPr>
        <w:t>毕业生的专业胜任能力。</w:t>
      </w:r>
      <w:r>
        <w:rPr>
          <w:rFonts w:hint="eastAsia" w:ascii="仿宋" w:hAnsi="仿宋" w:eastAsia="仿宋" w:cstheme="minorBidi"/>
          <w:sz w:val="24"/>
        </w:rPr>
        <w:t>根据澳方要求新增了《核对金融事项》《在企业经营中引入云计算》及《有效的会计和簿记计工作》三门课程。</w:t>
      </w:r>
    </w:p>
    <w:p>
      <w:pPr>
        <w:spacing w:line="360" w:lineRule="auto"/>
        <w:ind w:firstLine="480" w:firstLineChars="200"/>
        <w:rPr>
          <w:rFonts w:ascii="仿宋" w:hAnsi="仿宋" w:eastAsia="仿宋"/>
          <w:sz w:val="24"/>
        </w:rPr>
      </w:pPr>
      <w:r>
        <w:rPr>
          <w:rFonts w:hint="eastAsia" w:ascii="仿宋" w:hAnsi="仿宋" w:eastAsia="仿宋"/>
          <w:sz w:val="24"/>
        </w:rPr>
        <w:t>移动商务教学团队，联合行业企业专家组成课程编写团队，并经过近一年努力，完成了《社会化客户关系管理》教材的编纂并由中国开放大学正式出版。该书填补了移动互联网下，社会化客户关系管理的理论空白，为高校电商、移商、市场营销等专业开设相关课程提供了理论基础，此外也为行业企业推进社会化客户关系管理提供理论支撑，是有关领域从业者与专业学生非常重要的理实一体化教材与辅助读本。移动商务专业与哈尔滨职业学院联合建设的国家移动商务专业资源库《客户服务与管理》建设工作顺利完成并通过专家组验收。</w:t>
      </w:r>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制定中期实习管理办法，规范了中期实习的组织、过程管理、评价方式。加强了对2015级顶岗实习和2016级顶岗实习和毕业论文的组织管理。制定各专业顶岗实习计划、落实寻访制度，院系领导带头，教研室主任、辅导员参与，深入学生实习单位，关心了解学生实习状况，掌握实习单位对学校教育教学反馈意见；落实专业教师指导实习制度，系部派出业务能力强的老师通过网上答疑、批阅月度报告、实习报告等方式加强对实习同学的业务指导；加强学生的实习纪律、安全管理。辅导员通过实习平台每日检查学生实习到岗情况，通过实地走访、QQ、微信等手段强化对学生的纪律和安全的教育管理；制定了2016级毕业生顶岗实习和论文指导方案；加强对中期实习、顶岗实习资料的归档保管。</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95" w:name="_Toc533491218"/>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（四）推进校企合作，加快现代学徒制建设</w:t>
      </w:r>
      <w:bookmarkEnd w:id="95"/>
    </w:p>
    <w:p>
      <w:pPr>
        <w:spacing w:line="360" w:lineRule="auto"/>
        <w:ind w:firstLine="482"/>
        <w:rPr>
          <w:rFonts w:ascii="仿宋" w:hAnsi="仿宋" w:eastAsia="仿宋" w:cstheme="minorBidi"/>
          <w:sz w:val="24"/>
          <w:szCs w:val="22"/>
        </w:rPr>
      </w:pPr>
      <w:r>
        <w:rPr>
          <w:rFonts w:hint="eastAsia" w:ascii="仿宋" w:hAnsi="仿宋" w:eastAsia="仿宋" w:cstheme="minorBidi"/>
          <w:sz w:val="24"/>
        </w:rPr>
        <w:t>学院与平安金服、中联集团、成都代理记账行业协会等进行深度校企合作，创新校企合作方式，拓展校企合作模式：一是校企共建“财务共享人才孵化基地”。中国平安集团所属的综合金融服务有限公司（简称“平安金服”）运行的财务共享中心，其建设服务能力居于全国同行业先进水平。我院每年选派大三学生成为孵化基地的学员，进入平安金服成都分公司财务共享中心实习半年，按照校企双方精心安排的学习内容开展一系列岗前培训，合格后进入财务共享中心的相应工作岗位。实习结束后，通过双向选择，大部分学员将成为平安公司的正式员工。二是与阳光保险集团合作，共建“四川财经</w:t>
      </w:r>
      <w:r>
        <w:rPr>
          <w:rFonts w:hint="eastAsia" w:ascii="微软雅黑" w:hAnsi="微软雅黑" w:eastAsia="微软雅黑" w:cs="微软雅黑"/>
          <w:sz w:val="24"/>
        </w:rPr>
        <w:t>∙</w:t>
      </w:r>
      <w:r>
        <w:rPr>
          <w:rFonts w:hint="eastAsia" w:ascii="仿宋" w:hAnsi="仿宋" w:eastAsia="仿宋" w:cstheme="minorBidi"/>
          <w:sz w:val="24"/>
        </w:rPr>
        <w:t>阳光保险财务实践基地”。学生运用所学专业知识和掌握的专业技能，利用课余时间及节假日在“阳光保险财务众包平台”上完成公司业务的凭证审核、账务处理等工作内容，公司按学生完成的工作任务量向学生个人支付劳动报酬。三是与</w:t>
      </w:r>
      <w:r>
        <w:rPr>
          <w:rFonts w:ascii="仿宋" w:hAnsi="仿宋" w:eastAsia="仿宋"/>
          <w:sz w:val="24"/>
        </w:rPr>
        <w:t>四川柒脉网络科技有限公司、成都易焯科技有限公司共建“四川财经-成都易焯新媒体运营实训基地”</w:t>
      </w:r>
      <w:r>
        <w:rPr>
          <w:rFonts w:hint="eastAsia" w:ascii="仿宋" w:hAnsi="仿宋" w:eastAsia="仿宋"/>
          <w:sz w:val="24"/>
        </w:rPr>
        <w:t>，将由企业引入真实电子商务项目，师生组建团队、企业提供资源，利用当前新媒体技术，进行产品营销、项目孵化。四是</w:t>
      </w:r>
      <w:r>
        <w:rPr>
          <w:rFonts w:hint="eastAsia" w:ascii="仿宋_GB2312" w:eastAsia="仿宋_GB2312"/>
          <w:sz w:val="24"/>
        </w:rPr>
        <w:t>与江苏京东信息技术公司成都客服中心共同建设了“四川财经﹒京东商城工作坊”，工作坊涉及京东商城客户服务、数据标注等电子商务客服服务类业务。五</w:t>
      </w:r>
      <w:r>
        <w:rPr>
          <w:rFonts w:hint="eastAsia" w:ascii="仿宋" w:hAnsi="仿宋" w:eastAsia="仿宋" w:cstheme="minorBidi"/>
          <w:sz w:val="24"/>
        </w:rPr>
        <w:t>是校企合作开展学徒制、订单班培养。移动商务专业与杭州起码科技有限公司签订了“川财-有赞移动商务学徒制”合作协议；会计（中澳合作）专业与成都聚思力信息技术有限公司联合举办“聚思力订单班”，提前植入企业相关业务课程，双方教师共同参与教学。该订单班与外资企业签订三方协议学生比例已超过60%。；会计专业与成都代理记账行业协会合作举办订单培养已有多年成效，近三年为协会所属会员单位举办9场“毕业生专场招聘会”，为参会的15家会员单位选派了230名会计相关岗位人员会计专业</w:t>
      </w:r>
      <w:r>
        <w:rPr>
          <w:rFonts w:hint="eastAsia" w:ascii="仿宋" w:hAnsi="仿宋" w:eastAsia="仿宋" w:cstheme="minorBidi"/>
          <w:sz w:val="24"/>
          <w:szCs w:val="22"/>
        </w:rPr>
        <w:t>向教育部申请并获得批准立项建设第三批现代学徒制试点。通过未来两年的建设，我院将探索校企联合招生、联合培养、一体化育人的长效机制，形成具有我院特色且可借鉴复制的现代学徒制培养模式。</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96" w:name="_Toc533491219"/>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五、政策保障</w:t>
      </w:r>
      <w:bookmarkEnd w:id="96"/>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97" w:name="_Toc533491220"/>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（一）制度保障</w:t>
      </w:r>
      <w:bookmarkEnd w:id="97"/>
    </w:p>
    <w:p>
      <w:pPr>
        <w:spacing w:line="360" w:lineRule="auto"/>
        <w:ind w:firstLine="480" w:firstLineChars="200"/>
        <w:rPr>
          <w:rFonts w:ascii="仿宋" w:hAnsi="仿宋" w:eastAsia="仿宋"/>
          <w:sz w:val="24"/>
        </w:rPr>
      </w:pPr>
      <w:r>
        <w:rPr>
          <w:rFonts w:hint="eastAsia" w:ascii="仿宋" w:hAnsi="仿宋" w:eastAsia="仿宋"/>
          <w:sz w:val="24"/>
        </w:rPr>
        <w:t>1.坚持立德树人，打造育人新格局</w:t>
      </w:r>
    </w:p>
    <w:p>
      <w:pPr>
        <w:spacing w:line="360" w:lineRule="auto"/>
        <w:ind w:firstLine="480" w:firstLineChars="200"/>
        <w:rPr>
          <w:rFonts w:ascii="仿宋" w:hAnsi="仿宋" w:eastAsia="仿宋"/>
          <w:bCs/>
          <w:sz w:val="24"/>
        </w:rPr>
      </w:pPr>
      <w:r>
        <w:rPr>
          <w:rFonts w:hint="eastAsia" w:ascii="仿宋" w:hAnsi="仿宋" w:eastAsia="仿宋"/>
          <w:sz w:val="24"/>
        </w:rPr>
        <w:t>深入贯彻全国和全省教育大会会议精神，</w:t>
      </w:r>
      <w:r>
        <w:rPr>
          <w:rFonts w:hint="eastAsia" w:ascii="仿宋" w:hAnsi="仿宋" w:eastAsia="仿宋" w:cs="仿宋"/>
          <w:color w:val="000000"/>
          <w:kern w:val="0"/>
          <w:sz w:val="24"/>
        </w:rPr>
        <w:t>聚焦根本任务，实施新时代立德树人工程。坚持全员全过程全方位育人，积极培育和践行社会主义核心价值观，不断加强校园文化建设，提升人才培养质量，办好人民满意的教育。</w:t>
      </w:r>
      <w:r>
        <w:rPr>
          <w:rFonts w:hint="eastAsia" w:ascii="仿宋" w:hAnsi="仿宋" w:eastAsia="仿宋"/>
          <w:sz w:val="24"/>
        </w:rPr>
        <w:t>以理想信念教育为核心，以社会主义核心价值观为引领，</w:t>
      </w:r>
      <w:r>
        <w:rPr>
          <w:rFonts w:hint="eastAsia" w:ascii="仿宋" w:hAnsi="仿宋" w:eastAsia="仿宋" w:cs="仿宋"/>
          <w:color w:val="000000"/>
          <w:kern w:val="0"/>
          <w:sz w:val="24"/>
        </w:rPr>
        <w:t>结合《现代职业教育体系建设规划(2014-2020年)》，落实优质高职建设计划和创新行动计划，围绕办学特色优化专业布局，</w:t>
      </w:r>
      <w:r>
        <w:rPr>
          <w:rFonts w:hint="eastAsia" w:ascii="仿宋" w:hAnsi="仿宋" w:eastAsia="仿宋"/>
          <w:sz w:val="24"/>
        </w:rPr>
        <w:t>制订一流专业建设方案；</w:t>
      </w:r>
      <w:r>
        <w:rPr>
          <w:rFonts w:hint="eastAsia" w:ascii="仿宋" w:hAnsi="仿宋" w:eastAsia="仿宋"/>
          <w:bCs/>
          <w:sz w:val="24"/>
        </w:rPr>
        <w:t>加强思政工作，成立马克思主义学院。强化网络思政，成立“易班发展中心”和“张导说事”工作室；</w:t>
      </w:r>
      <w:r>
        <w:rPr>
          <w:rFonts w:hint="eastAsia" w:ascii="仿宋" w:hAnsi="仿宋" w:eastAsia="仿宋" w:cs="仿宋"/>
          <w:color w:val="000000"/>
          <w:kern w:val="0"/>
          <w:sz w:val="24"/>
        </w:rPr>
        <w:t>谱好产教融合、产教协同、校企合作的优美之曲，</w:t>
      </w:r>
      <w:r>
        <w:rPr>
          <w:rFonts w:hint="eastAsia" w:ascii="仿宋" w:hAnsi="仿宋" w:eastAsia="仿宋" w:cs="黑体"/>
          <w:kern w:val="0"/>
          <w:sz w:val="24"/>
        </w:rPr>
        <w:t>成功申报四川省“双师型”名师工作室和紧缺领域教师技艺技能传承创新平台。</w:t>
      </w:r>
    </w:p>
    <w:p>
      <w:pPr>
        <w:spacing w:line="360" w:lineRule="auto"/>
        <w:ind w:firstLine="480" w:firstLineChars="200"/>
        <w:rPr>
          <w:rFonts w:ascii="仿宋" w:hAnsi="仿宋" w:eastAsia="仿宋"/>
          <w:sz w:val="24"/>
        </w:rPr>
      </w:pPr>
      <w:r>
        <w:rPr>
          <w:rFonts w:hint="eastAsia" w:ascii="仿宋" w:hAnsi="仿宋" w:eastAsia="仿宋"/>
          <w:sz w:val="24"/>
        </w:rPr>
        <w:t>2.以“大学习、大讨论、大调研”为抓手，推进“两学一做”学习教育常态化制度化</w:t>
      </w:r>
    </w:p>
    <w:p>
      <w:pPr>
        <w:spacing w:line="360" w:lineRule="auto"/>
        <w:ind w:firstLine="480" w:firstLineChars="200"/>
        <w:rPr>
          <w:rFonts w:ascii="仿宋" w:hAnsi="仿宋" w:eastAsia="仿宋"/>
          <w:bCs/>
          <w:color w:val="000000"/>
          <w:sz w:val="24"/>
          <w:shd w:val="clear" w:color="auto" w:fill="FFFFFF"/>
        </w:rPr>
      </w:pPr>
      <w:r>
        <w:rPr>
          <w:rFonts w:hint="eastAsia" w:ascii="仿宋" w:hAnsi="仿宋" w:eastAsia="仿宋"/>
          <w:sz w:val="24"/>
        </w:rPr>
        <w:t>制定了《四川财经职业学院开展大学习、大讨论、大调研实施方案》，</w:t>
      </w:r>
      <w:r>
        <w:rPr>
          <w:rFonts w:hint="eastAsia" w:ascii="仿宋" w:hAnsi="仿宋" w:eastAsia="仿宋"/>
          <w:bCs/>
          <w:color w:val="000000"/>
          <w:sz w:val="24"/>
          <w:shd w:val="clear" w:color="auto" w:fill="FFFFFF"/>
        </w:rPr>
        <w:t>围绕全面从治党、管理体制机制改革创新、高水平专业建设、深化产教融合、师资队伍建设、提升社会服务能力、推进教学信息化建设等重大课题开展专题研究，形成了一批研究成果。全年共发放学习资料450余册，举办各种讨论会80余场，制作了宣传橱窗、板报、墙报等共40多期，在全院范围内营造了浓厚的学习氛围。</w:t>
      </w:r>
    </w:p>
    <w:p>
      <w:pPr>
        <w:spacing w:line="360" w:lineRule="auto"/>
        <w:ind w:firstLine="480" w:firstLineChars="200"/>
        <w:rPr>
          <w:rFonts w:ascii="仿宋" w:hAnsi="仿宋" w:eastAsia="仿宋"/>
          <w:sz w:val="24"/>
        </w:rPr>
      </w:pPr>
      <w:r>
        <w:rPr>
          <w:rFonts w:hint="eastAsia" w:ascii="仿宋" w:hAnsi="仿宋" w:eastAsia="仿宋"/>
          <w:sz w:val="24"/>
        </w:rPr>
        <w:t>3.建立内部控制体系，扎实开展党建专项工作</w:t>
      </w:r>
    </w:p>
    <w:p>
      <w:pPr>
        <w:widowControl/>
        <w:spacing w:line="360" w:lineRule="auto"/>
        <w:ind w:firstLine="480" w:firstLineChars="200"/>
        <w:rPr>
          <w:rFonts w:ascii="仿宋" w:hAnsi="仿宋" w:eastAsia="仿宋" w:cs="宋体"/>
          <w:kern w:val="0"/>
          <w:sz w:val="24"/>
        </w:rPr>
      </w:pPr>
      <w:r>
        <w:rPr>
          <w:rFonts w:hint="eastAsia" w:ascii="仿宋" w:hAnsi="仿宋" w:eastAsia="仿宋" w:cs="仿宋_GB2312"/>
          <w:color w:val="000000"/>
          <w:sz w:val="24"/>
        </w:rPr>
        <w:t>严格贯彻落</w:t>
      </w:r>
      <w:r>
        <w:rPr>
          <w:rFonts w:hint="eastAsia" w:ascii="仿宋" w:hAnsi="仿宋" w:eastAsia="仿宋"/>
          <w:color w:val="000000"/>
          <w:sz w:val="24"/>
          <w:shd w:val="clear" w:color="auto" w:fill="FFFFFF"/>
        </w:rPr>
        <w:t>实《关于新形势下党内政治生活的若干准则》、《中国共产党党内监督条例》及省委《关于加强和规范党内政治生活、严格党内监督，巩固发展良好政治生态的决定》</w:t>
      </w:r>
      <w:r>
        <w:rPr>
          <w:rFonts w:hint="eastAsia" w:ascii="仿宋" w:hAnsi="仿宋" w:eastAsia="仿宋"/>
          <w:bCs/>
          <w:color w:val="000000"/>
          <w:sz w:val="24"/>
          <w:shd w:val="clear" w:color="auto" w:fill="FFFFFF"/>
        </w:rPr>
        <w:t>，</w:t>
      </w:r>
      <w:r>
        <w:rPr>
          <w:rFonts w:hint="eastAsia" w:ascii="仿宋" w:hAnsi="仿宋" w:eastAsia="仿宋"/>
          <w:sz w:val="24"/>
        </w:rPr>
        <w:t>制定了《四川财经职业学院党员积分制管理》《四川财经职业学院党建工作考核评价办法》；组织召开学院全面从严治党工作会议；重新修订了《四川财经职业学院党费收缴、使用和管理实施细则》；进一步完善了党委中心组理论学习制度，明确了班子成员学习报告制度。共组织党委中心组集体学习4次，通过领导干部讲党课、集体研讨、个人自学等形式，不断增强班子成员的政治敏锐性和政治鉴别力；</w:t>
      </w:r>
      <w:r>
        <w:rPr>
          <w:rFonts w:hint="eastAsia" w:ascii="仿宋" w:hAnsi="仿宋" w:eastAsia="仿宋" w:cs="仿宋"/>
          <w:sz w:val="24"/>
        </w:rPr>
        <w:t>制定了“2018年党风廉政建设责任制任务分解表”，</w:t>
      </w:r>
      <w:r>
        <w:rPr>
          <w:rFonts w:hint="eastAsia" w:ascii="仿宋" w:hAnsi="仿宋" w:eastAsia="仿宋"/>
          <w:sz w:val="24"/>
        </w:rPr>
        <w:t>切实加强党风党纪和反腐倡廉教育工作。再次修订了学院《廉政风险防控表》。学院领导和中层正职签订了“四川财经职业学院党风廉政建设责任书”，并组织教职工签订了“2018年党员干部廉洁从政（从业）承诺书”和“四川财经职业学院教师师风师德承诺书”。</w:t>
      </w:r>
    </w:p>
    <w:p>
      <w:pPr>
        <w:spacing w:line="360" w:lineRule="auto"/>
        <w:ind w:firstLine="480" w:firstLineChars="200"/>
        <w:rPr>
          <w:rFonts w:ascii="仿宋" w:hAnsi="仿宋" w:eastAsia="仿宋"/>
          <w:sz w:val="24"/>
        </w:rPr>
      </w:pPr>
      <w:r>
        <w:rPr>
          <w:rFonts w:hint="eastAsia" w:ascii="仿宋" w:hAnsi="仿宋" w:eastAsia="仿宋"/>
          <w:sz w:val="24"/>
        </w:rPr>
        <w:t>4.坚持依法治校，全力推进制度建设工作</w:t>
      </w:r>
    </w:p>
    <w:p>
      <w:pPr>
        <w:widowControl/>
        <w:shd w:val="clear" w:color="auto" w:fill="FFFFFF"/>
        <w:spacing w:line="360" w:lineRule="auto"/>
        <w:ind w:firstLine="539"/>
        <w:jc w:val="left"/>
        <w:rPr>
          <w:rFonts w:ascii="仿宋" w:hAnsi="仿宋" w:eastAsia="仿宋" w:cs="黑体"/>
          <w:sz w:val="24"/>
        </w:rPr>
      </w:pPr>
      <w:r>
        <w:rPr>
          <w:rFonts w:hint="eastAsia" w:ascii="仿宋" w:hAnsi="仿宋" w:eastAsia="仿宋"/>
          <w:sz w:val="24"/>
        </w:rPr>
        <w:t>以章程建设为抓手，积极推进“废改立”工作，整理修订完善</w:t>
      </w:r>
      <w:r>
        <w:rPr>
          <w:rFonts w:ascii="仿宋" w:hAnsi="仿宋" w:eastAsia="仿宋"/>
          <w:sz w:val="24"/>
        </w:rPr>
        <w:t>3</w:t>
      </w:r>
      <w:r>
        <w:rPr>
          <w:rFonts w:hint="eastAsia" w:ascii="仿宋" w:hAnsi="仿宋" w:eastAsia="仿宋"/>
          <w:sz w:val="24"/>
        </w:rPr>
        <w:t>条，建立</w:t>
      </w:r>
      <w:r>
        <w:rPr>
          <w:rFonts w:ascii="仿宋" w:hAnsi="仿宋" w:eastAsia="仿宋"/>
          <w:sz w:val="24"/>
        </w:rPr>
        <w:t>9</w:t>
      </w:r>
      <w:r>
        <w:rPr>
          <w:rFonts w:hint="eastAsia" w:ascii="仿宋" w:hAnsi="仿宋" w:eastAsia="仿宋"/>
          <w:sz w:val="24"/>
        </w:rPr>
        <w:t>条，逐步优化内部管理制度体系和管理文化；加强内部审计监督。对学院物资采购进行全过程监督，同时组织市场询价和网上询价，全年共参加各种市场询价活动70余次。认真审阅学院的基建、修缮工程、设备材料采购、服务等经济合同，全年共审签各种经济合同165份。</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98" w:name="_Toc533491221"/>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（二）经费保障</w:t>
      </w:r>
      <w:bookmarkEnd w:id="98"/>
    </w:p>
    <w:p>
      <w:pPr>
        <w:spacing w:line="360" w:lineRule="auto"/>
        <w:ind w:firstLine="480" w:firstLineChars="200"/>
        <w:rPr>
          <w:rFonts w:ascii="仿宋" w:hAnsi="仿宋" w:eastAsia="仿宋" w:cs="宋体"/>
          <w:sz w:val="24"/>
        </w:rPr>
      </w:pPr>
      <w:r>
        <w:rPr>
          <w:rFonts w:hint="eastAsia" w:ascii="仿宋" w:hAnsi="仿宋" w:eastAsia="仿宋" w:cs="宋体"/>
          <w:sz w:val="24"/>
        </w:rPr>
        <w:t>四川省财政厅积极落实财政部、教育部《关于建立完善以改革和绩效为导向的生均拨款制度 加快发展现代高等职业教育的意见》。2018年度，我院财政拨款7856.35万元，其中财政专项经费1907.24万元。支持了学院的日常教育教学需要和改革发展项目建设。另外，中央、地方财政专项及学院投入学生资助经费787.50万元，奖学金187.85万元，助学金626.7万元。受益人次共计6</w:t>
      </w:r>
      <w:r>
        <w:rPr>
          <w:rFonts w:ascii="仿宋" w:hAnsi="仿宋" w:eastAsia="仿宋" w:cs="宋体"/>
          <w:sz w:val="24"/>
        </w:rPr>
        <w:t>,</w:t>
      </w:r>
      <w:r>
        <w:rPr>
          <w:rFonts w:hint="eastAsia" w:ascii="仿宋" w:hAnsi="仿宋" w:eastAsia="仿宋" w:cs="宋体"/>
          <w:sz w:val="24"/>
        </w:rPr>
        <w:t>054人次。</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99" w:name="_Toc533491222"/>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六、国际合作</w:t>
      </w:r>
      <w:bookmarkEnd w:id="99"/>
    </w:p>
    <w:p>
      <w:pPr>
        <w:spacing w:line="360" w:lineRule="auto"/>
        <w:ind w:firstLine="480" w:firstLineChars="200"/>
        <w:rPr>
          <w:rFonts w:ascii="仿宋" w:hAnsi="仿宋" w:eastAsia="仿宋"/>
          <w:color w:val="0C0C0C"/>
          <w:sz w:val="24"/>
        </w:rPr>
      </w:pPr>
      <w:r>
        <w:rPr>
          <w:rFonts w:hint="eastAsia" w:ascii="仿宋" w:hAnsi="仿宋" w:eastAsia="仿宋"/>
          <w:color w:val="0C0C0C"/>
          <w:sz w:val="24"/>
        </w:rPr>
        <w:t>为深入贯彻落实《关于做好新时期教育对外开放工作的若干意见》和《推进共建“一带一路”教育行动》两个重要文件，进一步拓展国际合作交流平台、加快专业建设步伐、促进校产教融合，学院在坚持高质量、重优势、创特色办好中澳合作会计专科办学项目的同时，不断提升我院提国际化办学水平，为我院学生开辟更多国际市场。</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0" w:name="_Toc533491223"/>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（一）开展国际交流，落实“一带一路”倡议</w:t>
      </w:r>
      <w:bookmarkEnd w:id="100"/>
    </w:p>
    <w:p>
      <w:pPr>
        <w:spacing w:line="360" w:lineRule="auto"/>
        <w:rPr>
          <w:rFonts w:ascii="仿宋" w:hAnsi="仿宋" w:eastAsia="仿宋"/>
          <w:color w:val="0C0C0C"/>
          <w:sz w:val="24"/>
        </w:rPr>
      </w:pPr>
      <w:r>
        <w:rPr>
          <w:rFonts w:hint="eastAsia" w:ascii="仿宋" w:hAnsi="仿宋" w:eastAsia="仿宋"/>
          <w:color w:val="0C0C0C"/>
          <w:sz w:val="24"/>
        </w:rPr>
        <w:t xml:space="preserve">    2018年开展国际交流合作工作以来，我院以独特的专业优势，吸引了来自英、美、澳等国的职业院校和本科院校到我院进行国际访问交流。先后与英国提赛德大学、美国新东墨西哥大学、美国劳伦斯理工大学等签署了国际合作协议或建立了深度合作关系。在全院新生和毕业生中，召开海外“专升本”、“专升硕”宣讲会五场次,全面普及和提高了我院学生对出国留学基本概念和常识的掌握，为进一步明确学生学习目的、突出重点专业优势、推动“国际交换生”和“海外升学”项目奠定了坚实基础。</w:t>
      </w:r>
    </w:p>
    <w:p>
      <w:pPr>
        <w:spacing w:line="360" w:lineRule="auto"/>
        <w:jc w:val="center"/>
        <w:rPr>
          <w:rFonts w:ascii="仿宋" w:hAnsi="仿宋" w:eastAsia="仿宋"/>
          <w:color w:val="0C0C0C"/>
          <w:sz w:val="24"/>
        </w:rPr>
      </w:pPr>
      <w:r>
        <w:rPr>
          <w:rFonts w:ascii="仿宋" w:hAnsi="仿宋" w:eastAsia="仿宋"/>
          <w:color w:val="0C0C0C"/>
          <w:sz w:val="24"/>
        </w:rPr>
        <w:drawing>
          <wp:inline distT="0" distB="0" distL="0" distR="0">
            <wp:extent cx="3426460" cy="2185670"/>
            <wp:effectExtent l="0" t="0" r="2540" b="5080"/>
            <wp:docPr id="34" name="图片 34" descr="H:\优质高职\质量报告\2018年质量报告-国际合作\2018年质量报告-国际合作照片\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优质高职\质量报告\2018年质量报告-国际合作\2018年质量报告-国际合作照片\IMG_89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427112" cy="2186023"/>
                    </a:xfrm>
                    <a:prstGeom prst="rect">
                      <a:avLst/>
                    </a:prstGeom>
                    <a:noFill/>
                    <a:ln>
                      <a:noFill/>
                    </a:ln>
                  </pic:spPr>
                </pic:pic>
              </a:graphicData>
            </a:graphic>
          </wp:inline>
        </w:drawing>
      </w:r>
    </w:p>
    <w:p>
      <w:pPr>
        <w:spacing w:line="360" w:lineRule="auto"/>
        <w:jc w:val="center"/>
        <w:rPr>
          <w:rFonts w:ascii="仿宋" w:hAnsi="仿宋" w:eastAsia="仿宋"/>
          <w:b/>
          <w:color w:val="0C0C0C"/>
          <w:szCs w:val="21"/>
        </w:rPr>
      </w:pPr>
      <w:r>
        <w:rPr>
          <w:rFonts w:hint="eastAsia" w:ascii="仿宋" w:hAnsi="仿宋" w:eastAsia="仿宋"/>
          <w:b/>
          <w:color w:val="0C0C0C"/>
          <w:szCs w:val="21"/>
        </w:rPr>
        <w:t>图6.1  美国劳伦斯理工大学到我院考察访问</w:t>
      </w:r>
    </w:p>
    <w:p>
      <w:pPr>
        <w:spacing w:line="360" w:lineRule="auto"/>
        <w:rPr>
          <w:rFonts w:ascii="仿宋" w:hAnsi="仿宋" w:eastAsia="仿宋"/>
          <w:color w:val="0C0C0C"/>
          <w:sz w:val="24"/>
        </w:rPr>
      </w:pPr>
      <w:r>
        <w:rPr>
          <w:rFonts w:hint="eastAsia" w:ascii="仿宋" w:hAnsi="仿宋" w:eastAsia="仿宋"/>
          <w:color w:val="0C0C0C"/>
          <w:sz w:val="24"/>
        </w:rPr>
        <w:t xml:space="preserve">   通过参加“第九届全国中外合作办学年会” 、“</w:t>
      </w:r>
      <w:r>
        <w:rPr>
          <w:rFonts w:ascii="仿宋" w:hAnsi="仿宋" w:eastAsia="仿宋"/>
          <w:color w:val="0C0C0C"/>
          <w:sz w:val="24"/>
        </w:rPr>
        <w:t xml:space="preserve">高职教育服务‘一带一路’暨西部高职教育发展研讨会 </w:t>
      </w:r>
      <w:r>
        <w:rPr>
          <w:rFonts w:hint="eastAsia" w:ascii="仿宋" w:hAnsi="仿宋" w:eastAsia="仿宋"/>
          <w:color w:val="0C0C0C"/>
          <w:sz w:val="24"/>
        </w:rPr>
        <w:t>”以及四川省教育厅组织的“天府职教国际联盟筹备会”等国际会议，全面提升了我院国际交流工作管理水平。为进一步落实中央“一带一路”倡议精神，我院与四川鑫蜀兴农业科技有限公司合作开展了越南、柬埔寨“网上一带一路”跨境电商平台建设，为“走出去”的中国企业搭建了国际交流合作平台。</w:t>
      </w:r>
    </w:p>
    <w:p>
      <w:pPr>
        <w:spacing w:line="360" w:lineRule="auto"/>
        <w:jc w:val="center"/>
        <w:rPr>
          <w:rFonts w:ascii="仿宋" w:hAnsi="仿宋" w:eastAsia="仿宋"/>
          <w:color w:val="0C0C0C"/>
          <w:sz w:val="24"/>
        </w:rPr>
      </w:pPr>
      <w:r>
        <w:rPr>
          <w:rFonts w:ascii="仿宋" w:hAnsi="仿宋" w:eastAsia="仿宋"/>
          <w:color w:val="0C0C0C"/>
          <w:sz w:val="24"/>
        </w:rPr>
        <w:drawing>
          <wp:inline distT="0" distB="0" distL="0" distR="0">
            <wp:extent cx="3491230" cy="2313305"/>
            <wp:effectExtent l="0" t="0" r="0" b="0"/>
            <wp:docPr id="33" name="图片 33" descr="H:\优质高职\质量报告\2018年质量报告-国际合作\2018年质量报告-国际合作照片\28214348b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优质高职\质量报告\2018年质量报告-国际合作\2018年质量报告-国际合作照片\28214348bse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491844" cy="2313710"/>
                    </a:xfrm>
                    <a:prstGeom prst="rect">
                      <a:avLst/>
                    </a:prstGeom>
                    <a:noFill/>
                    <a:ln>
                      <a:noFill/>
                    </a:ln>
                  </pic:spPr>
                </pic:pic>
              </a:graphicData>
            </a:graphic>
          </wp:inline>
        </w:drawing>
      </w:r>
    </w:p>
    <w:p>
      <w:pPr>
        <w:spacing w:line="360" w:lineRule="auto"/>
        <w:jc w:val="center"/>
        <w:rPr>
          <w:rFonts w:ascii="仿宋" w:hAnsi="仿宋" w:eastAsia="仿宋"/>
          <w:b/>
          <w:color w:val="0C0C0C"/>
          <w:szCs w:val="21"/>
        </w:rPr>
      </w:pPr>
      <w:r>
        <w:rPr>
          <w:rFonts w:hint="eastAsia" w:ascii="仿宋" w:hAnsi="仿宋" w:eastAsia="仿宋"/>
          <w:b/>
          <w:color w:val="0C0C0C"/>
          <w:szCs w:val="21"/>
        </w:rPr>
        <w:t>图6.2  2018年西部地区人才培养特别项目分享会</w:t>
      </w:r>
    </w:p>
    <w:p>
      <w:pPr>
        <w:spacing w:line="360" w:lineRule="auto"/>
        <w:ind w:firstLine="480" w:firstLineChars="200"/>
        <w:rPr>
          <w:rFonts w:ascii="仿宋" w:hAnsi="仿宋" w:eastAsia="仿宋"/>
          <w:color w:val="0C0C0C"/>
          <w:sz w:val="24"/>
        </w:rPr>
      </w:pPr>
      <w:r>
        <w:rPr>
          <w:rFonts w:hint="eastAsia" w:ascii="仿宋" w:hAnsi="仿宋" w:eastAsia="仿宋"/>
          <w:color w:val="0C0C0C"/>
          <w:sz w:val="24"/>
        </w:rPr>
        <w:t>为学习国外先进教育教学管理理念，进一步拓宽教师国际聚焦视野，2018年我院选派优秀教师参加了“2018年西部地区人才培养特别项目—高校教育法项目”，开辟了我院专业教师参加出国培训项目的先河，开启了我院教师国际化进程新篇章。随后，本项目分别在院领导、教师和学生中开展了专题分享会，向全院师生传递和灌输了国外先进教育教学管理理念，将该项目的国际影响力最大化并辐射全院，为全面铺开学院国际化建设奠定了基石。</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1" w:name="_Toc533491224"/>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（二）深化合作办学，提升国际化办学水平</w:t>
      </w:r>
      <w:bookmarkEnd w:id="101"/>
    </w:p>
    <w:p>
      <w:pPr>
        <w:widowControl/>
        <w:spacing w:line="360" w:lineRule="auto"/>
        <w:ind w:firstLine="480" w:firstLineChars="200"/>
        <w:rPr>
          <w:rFonts w:ascii="仿宋" w:hAnsi="仿宋" w:eastAsia="仿宋"/>
          <w:color w:val="0C0C0C"/>
          <w:sz w:val="24"/>
        </w:rPr>
      </w:pPr>
      <w:r>
        <w:rPr>
          <w:rFonts w:hint="eastAsia" w:ascii="仿宋" w:hAnsi="仿宋" w:eastAsia="仿宋"/>
          <w:color w:val="0C0C0C"/>
          <w:sz w:val="24"/>
        </w:rPr>
        <w:t xml:space="preserve">自我院与澳大利亚启思蒙学院签订中澳合作会计专业办学项目以来，我院对外合作处长期与澳方保持良好的交流、互动，积极思考，不断提高办学质量、创新合作模式、深化项目内涵。2018年又与澳大利亚启思蒙学院签订了未来五年的合作协议，稳步加速了学院与国际高职教育的融合接轨，为全面提高学院国际合作办学质量提供了有力依据。 </w:t>
      </w:r>
    </w:p>
    <w:p>
      <w:pPr>
        <w:spacing w:line="360" w:lineRule="auto"/>
        <w:jc w:val="center"/>
        <w:rPr>
          <w:rFonts w:ascii="仿宋" w:hAnsi="仿宋" w:eastAsia="仿宋"/>
          <w:color w:val="0C0C0C"/>
          <w:sz w:val="24"/>
        </w:rPr>
      </w:pPr>
      <w:r>
        <w:rPr>
          <w:rFonts w:ascii="仿宋" w:hAnsi="仿宋" w:eastAsia="仿宋"/>
          <w:color w:val="0C0C0C"/>
          <w:sz w:val="24"/>
        </w:rPr>
        <w:drawing>
          <wp:inline distT="0" distB="0" distL="0" distR="0">
            <wp:extent cx="3244215" cy="1987550"/>
            <wp:effectExtent l="0" t="0" r="0" b="0"/>
            <wp:docPr id="32" name="图片 32" descr="H:\优质高职\质量报告\2018年质量报告-国际合作\2018年质量报告-国际合作照片\图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优质高职\质量报告\2018年质量报告-国际合作\2018年质量报告-国际合作照片\图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244673" cy="1987826"/>
                    </a:xfrm>
                    <a:prstGeom prst="rect">
                      <a:avLst/>
                    </a:prstGeom>
                    <a:noFill/>
                    <a:ln>
                      <a:noFill/>
                    </a:ln>
                  </pic:spPr>
                </pic:pic>
              </a:graphicData>
            </a:graphic>
          </wp:inline>
        </w:drawing>
      </w:r>
    </w:p>
    <w:p>
      <w:pPr>
        <w:spacing w:line="360" w:lineRule="auto"/>
        <w:jc w:val="center"/>
        <w:rPr>
          <w:rFonts w:ascii="仿宋" w:hAnsi="仿宋" w:eastAsia="仿宋"/>
          <w:b/>
          <w:color w:val="0C0C0C"/>
          <w:szCs w:val="21"/>
        </w:rPr>
      </w:pPr>
      <w:r>
        <w:rPr>
          <w:rFonts w:hint="eastAsia" w:ascii="仿宋" w:hAnsi="仿宋" w:eastAsia="仿宋"/>
          <w:b/>
          <w:color w:val="0C0C0C"/>
          <w:szCs w:val="21"/>
        </w:rPr>
        <w:t>图6.3  澳大利亚启思蒙学院国际项目经理Rachel Liu与中澳学生互动</w:t>
      </w:r>
    </w:p>
    <w:p>
      <w:pPr>
        <w:widowControl/>
        <w:spacing w:line="360" w:lineRule="auto"/>
        <w:ind w:firstLine="480" w:firstLineChars="200"/>
        <w:rPr>
          <w:rFonts w:ascii="仿宋" w:hAnsi="仿宋" w:eastAsia="仿宋"/>
          <w:color w:val="0C0C0C"/>
          <w:sz w:val="24"/>
        </w:rPr>
      </w:pPr>
      <w:r>
        <w:rPr>
          <w:rFonts w:hint="eastAsia" w:ascii="仿宋" w:hAnsi="仿宋" w:eastAsia="仿宋"/>
          <w:color w:val="0C0C0C"/>
          <w:sz w:val="24"/>
        </w:rPr>
        <w:t xml:space="preserve">学院的中澳合作会计专业办学项目，在充分发挥我院会计专业课程优势的基础上，结合了澳大利亚TAFE职业教育特色，制定了具有“四川财经”特色的《中澳合作会计专业人才培养方案》。中澳项目组将中方和澳方两套教育体系有机结合，对原有课程体系实施创新性改革，建成24门澳方专业课程教学资源库。通过召开2018年中澳合作会计专业项目组座谈会和赴澳大利亚启思蒙学院“专升本”项目宣讲会，学院全面开启 </w:t>
      </w:r>
      <w:r>
        <w:rPr>
          <w:rFonts w:ascii="仿宋" w:hAnsi="仿宋" w:eastAsia="仿宋"/>
          <w:color w:val="0C0C0C"/>
          <w:sz w:val="24"/>
        </w:rPr>
        <w:t>“</w:t>
      </w:r>
      <w:r>
        <w:rPr>
          <w:rFonts w:hint="eastAsia" w:ascii="仿宋" w:hAnsi="仿宋" w:eastAsia="仿宋"/>
          <w:color w:val="0C0C0C"/>
          <w:sz w:val="24"/>
        </w:rPr>
        <w:t>海外专升本、专升硕</w:t>
      </w:r>
      <w:r>
        <w:rPr>
          <w:rFonts w:ascii="仿宋" w:hAnsi="仿宋" w:eastAsia="仿宋"/>
          <w:color w:val="0C0C0C"/>
          <w:sz w:val="24"/>
        </w:rPr>
        <w:t>”</w:t>
      </w:r>
      <w:r>
        <w:rPr>
          <w:rFonts w:hint="eastAsia" w:ascii="仿宋" w:hAnsi="仿宋" w:eastAsia="仿宋"/>
          <w:color w:val="0C0C0C"/>
          <w:sz w:val="24"/>
        </w:rPr>
        <w:t>升学通道,不断深化国际合作办学内涵,提升了我院国际化办学水平，向创建全国一流财经类高职院迈出了坚实的步伐。</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102" w:name="_Toc533491225"/>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七、服务贡献</w:t>
      </w:r>
      <w:bookmarkEnd w:id="102"/>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3" w:name="_Toc533491226"/>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（一）教育精准扶贫，造福一方百姓</w:t>
      </w:r>
      <w:bookmarkEnd w:id="103"/>
    </w:p>
    <w:p>
      <w:pPr>
        <w:spacing w:line="360" w:lineRule="auto"/>
        <w:ind w:firstLine="480" w:firstLineChars="200"/>
        <w:rPr>
          <w:rFonts w:ascii="仿宋" w:hAnsi="仿宋" w:eastAsia="仿宋"/>
          <w:sz w:val="24"/>
        </w:rPr>
      </w:pPr>
      <w:r>
        <w:rPr>
          <w:rFonts w:hint="eastAsia" w:ascii="仿宋" w:hAnsi="仿宋" w:eastAsia="仿宋"/>
          <w:sz w:val="24"/>
        </w:rPr>
        <w:t>1.强化组织领导，确保完成年度目标任务</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为进一步推动我院</w:t>
      </w:r>
      <w:r>
        <w:rPr>
          <w:rFonts w:hint="eastAsia" w:ascii="仿宋" w:hAnsi="仿宋" w:eastAsia="仿宋" w:cs="仿宋_GB2312"/>
          <w:color w:val="000000"/>
          <w:sz w:val="24"/>
        </w:rPr>
        <w:t>广元市昭化区白果乡狮子村、广元市昭化区明觉镇五房村、广元市昭化区梅树乡潼梓村、甘孜州甘孜县仁果乡拉尼村、渠县嘉禾乡雅化村</w:t>
      </w:r>
      <w:r>
        <w:rPr>
          <w:rFonts w:hint="eastAsia" w:ascii="仿宋" w:hAnsi="仿宋" w:eastAsia="仿宋" w:cs="仿宋_GB2312"/>
          <w:sz w:val="24"/>
        </w:rPr>
        <w:t>工作对口帮扶五个精准扶贫点的深入开展，</w:t>
      </w:r>
      <w:r>
        <w:rPr>
          <w:rFonts w:ascii="仿宋" w:hAnsi="仿宋" w:eastAsia="仿宋" w:cs="仿宋_GB2312"/>
          <w:sz w:val="24"/>
        </w:rPr>
        <w:t>201</w:t>
      </w:r>
      <w:r>
        <w:rPr>
          <w:rFonts w:hint="eastAsia" w:ascii="仿宋" w:hAnsi="仿宋" w:eastAsia="仿宋" w:cs="仿宋_GB2312"/>
          <w:sz w:val="24"/>
        </w:rPr>
        <w:t>8</w:t>
      </w:r>
      <w:r>
        <w:rPr>
          <w:rFonts w:ascii="仿宋" w:hAnsi="仿宋" w:eastAsia="仿宋" w:cs="仿宋_GB2312"/>
          <w:sz w:val="24"/>
        </w:rPr>
        <w:t>年</w:t>
      </w:r>
      <w:r>
        <w:rPr>
          <w:rFonts w:hint="eastAsia" w:ascii="仿宋" w:hAnsi="仿宋" w:eastAsia="仿宋" w:cs="仿宋_GB2312"/>
          <w:sz w:val="24"/>
        </w:rPr>
        <w:t>，</w:t>
      </w:r>
      <w:r>
        <w:rPr>
          <w:rFonts w:ascii="仿宋" w:hAnsi="仿宋" w:eastAsia="仿宋" w:cs="仿宋_GB2312"/>
          <w:sz w:val="24"/>
        </w:rPr>
        <w:t>我</w:t>
      </w:r>
      <w:r>
        <w:rPr>
          <w:rFonts w:hint="eastAsia" w:ascii="仿宋" w:hAnsi="仿宋" w:eastAsia="仿宋" w:cs="仿宋_GB2312"/>
          <w:sz w:val="24"/>
        </w:rPr>
        <w:t>院</w:t>
      </w:r>
      <w:r>
        <w:rPr>
          <w:rFonts w:ascii="仿宋" w:hAnsi="仿宋" w:eastAsia="仿宋" w:cs="仿宋_GB2312"/>
          <w:sz w:val="24"/>
        </w:rPr>
        <w:t>将脱贫攻坚工作和</w:t>
      </w:r>
      <w:r>
        <w:rPr>
          <w:rFonts w:hint="eastAsia" w:ascii="仿宋" w:hAnsi="仿宋" w:eastAsia="仿宋" w:cs="仿宋_GB2312"/>
          <w:sz w:val="24"/>
        </w:rPr>
        <w:t>学院</w:t>
      </w:r>
      <w:r>
        <w:rPr>
          <w:rFonts w:ascii="仿宋" w:hAnsi="仿宋" w:eastAsia="仿宋" w:cs="仿宋_GB2312"/>
          <w:sz w:val="24"/>
        </w:rPr>
        <w:t>工作紧密结合，坚持将脱贫攻坚工作作为一项长期重点工作来抓。全</w:t>
      </w:r>
      <w:r>
        <w:rPr>
          <w:rFonts w:hint="eastAsia" w:ascii="仿宋" w:hAnsi="仿宋" w:eastAsia="仿宋" w:cs="仿宋_GB2312"/>
          <w:sz w:val="24"/>
        </w:rPr>
        <w:t>院</w:t>
      </w:r>
      <w:r>
        <w:rPr>
          <w:rFonts w:ascii="仿宋" w:hAnsi="仿宋" w:eastAsia="仿宋" w:cs="仿宋_GB2312"/>
          <w:sz w:val="24"/>
        </w:rPr>
        <w:t>上下高度重视，精心组织，周密部署，</w:t>
      </w:r>
      <w:r>
        <w:rPr>
          <w:rFonts w:hint="eastAsia" w:ascii="仿宋" w:hAnsi="仿宋" w:eastAsia="仿宋" w:cs="仿宋_GB2312"/>
          <w:sz w:val="24"/>
        </w:rPr>
        <w:t>驻村干部开拓创新，勇于担当</w:t>
      </w:r>
      <w:r>
        <w:rPr>
          <w:rFonts w:ascii="仿宋" w:hAnsi="仿宋" w:eastAsia="仿宋" w:cs="仿宋_GB2312"/>
          <w:sz w:val="24"/>
        </w:rPr>
        <w:t>，开展了一系列富有成效的活动，</w:t>
      </w:r>
      <w:r>
        <w:rPr>
          <w:rFonts w:hint="eastAsia" w:ascii="仿宋" w:hAnsi="仿宋" w:eastAsia="仿宋" w:cs="仿宋_GB2312"/>
          <w:sz w:val="24"/>
        </w:rPr>
        <w:t>助力对口帮扶点脱贫奔康，</w:t>
      </w:r>
      <w:r>
        <w:rPr>
          <w:rFonts w:ascii="仿宋" w:hAnsi="仿宋" w:eastAsia="仿宋" w:cs="仿宋_GB2312"/>
          <w:sz w:val="24"/>
        </w:rPr>
        <w:t>有效</w:t>
      </w:r>
      <w:r>
        <w:rPr>
          <w:rFonts w:hint="eastAsia" w:ascii="仿宋" w:hAnsi="仿宋" w:eastAsia="仿宋" w:cs="仿宋_GB2312"/>
          <w:sz w:val="24"/>
        </w:rPr>
        <w:t>地</w:t>
      </w:r>
      <w:r>
        <w:rPr>
          <w:rFonts w:ascii="仿宋" w:hAnsi="仿宋" w:eastAsia="仿宋" w:cs="仿宋_GB2312"/>
          <w:sz w:val="24"/>
        </w:rPr>
        <w:t>激发了内在动</w:t>
      </w:r>
      <w:r>
        <w:rPr>
          <w:rFonts w:ascii="仿宋" w:hAnsi="仿宋" w:eastAsia="仿宋" w:cs="仿宋_GB2312"/>
          <w:color w:val="FFF7FF"/>
          <w:spacing w:val="-20"/>
          <w:w w:val="1"/>
          <w:sz w:val="24"/>
        </w:rPr>
        <w:t>力</w:t>
      </w:r>
      <w:r>
        <w:rPr>
          <w:rFonts w:ascii="仿宋" w:hAnsi="仿宋" w:eastAsia="仿宋" w:cs="仿宋_GB2312"/>
          <w:sz w:val="24"/>
        </w:rPr>
        <w:t>力。</w:t>
      </w:r>
      <w:r>
        <w:rPr>
          <w:rFonts w:hint="eastAsia" w:ascii="仿宋" w:hAnsi="仿宋" w:eastAsia="仿宋" w:cs="仿宋"/>
          <w:sz w:val="24"/>
        </w:rPr>
        <w:t>年初，按照工作安排，学院扶贫工作领导小组专门召开2018年精准扶贫工作专题座谈会，进一步研究细化扶贫方案和对策，</w:t>
      </w:r>
      <w:r>
        <w:rPr>
          <w:rFonts w:hint="eastAsia" w:ascii="仿宋" w:hAnsi="仿宋" w:eastAsia="仿宋" w:cs="仿宋_GB2312"/>
          <w:sz w:val="24"/>
        </w:rPr>
        <w:t>深入推进抓党建保脱贫攻坚工作，在已有3名同志参与定点扶贫工作的基础上，再次选拔了2名同志到基层挂职参与定点扶贫工作。全院25个党支部近60名党员和5位院级领导分30余批次到村参与结对帮扶，通过召开座谈会、实地走访，组织看望慰问等积极参与定点扶贫工作，圆满完成了相关任务。2018年，学院被</w:t>
      </w:r>
      <w:r>
        <w:rPr>
          <w:rFonts w:hint="eastAsia" w:ascii="仿宋" w:hAnsi="仿宋" w:eastAsia="仿宋"/>
          <w:sz w:val="24"/>
        </w:rPr>
        <w:t>中共四川省委表彰为“2017年脱贫攻坚先进集体”。其中，扶贫点</w:t>
      </w:r>
      <w:r>
        <w:rPr>
          <w:rFonts w:hint="eastAsia" w:ascii="仿宋" w:hAnsi="仿宋" w:eastAsia="仿宋" w:cs="仿宋_GB2312"/>
          <w:color w:val="000000"/>
          <w:sz w:val="24"/>
        </w:rPr>
        <w:t>广元</w:t>
      </w:r>
      <w:r>
        <w:rPr>
          <w:rFonts w:hint="eastAsia" w:ascii="仿宋" w:hAnsi="仿宋" w:eastAsia="仿宋" w:cs="仿宋"/>
          <w:sz w:val="24"/>
        </w:rPr>
        <w:t>市昭化区梅树乡潼梓村以全区第三名的优异成绩，高质量通过贫困村摘帽退出的市级验收。</w:t>
      </w:r>
    </w:p>
    <w:p>
      <w:pPr>
        <w:spacing w:line="360" w:lineRule="auto"/>
        <w:ind w:firstLine="480" w:firstLineChars="200"/>
        <w:rPr>
          <w:rFonts w:ascii="仿宋" w:hAnsi="仿宋" w:eastAsia="仿宋"/>
          <w:sz w:val="24"/>
        </w:rPr>
      </w:pPr>
      <w:r>
        <w:rPr>
          <w:rFonts w:hint="eastAsia" w:ascii="仿宋" w:hAnsi="仿宋" w:eastAsia="仿宋"/>
          <w:sz w:val="24"/>
        </w:rPr>
        <w:t>2.推进项目建设进度，努力完成脱贫达标任务</w:t>
      </w:r>
    </w:p>
    <w:p>
      <w:pPr>
        <w:spacing w:line="360" w:lineRule="auto"/>
        <w:ind w:firstLine="360" w:firstLineChars="150"/>
        <w:rPr>
          <w:rFonts w:ascii="仿宋" w:hAnsi="仿宋" w:eastAsia="仿宋" w:cs="仿宋_GB2312"/>
          <w:sz w:val="24"/>
        </w:rPr>
      </w:pPr>
      <w:r>
        <w:rPr>
          <w:rFonts w:hint="eastAsia" w:ascii="仿宋" w:hAnsi="仿宋" w:eastAsia="仿宋" w:cs="仿宋_GB2312"/>
          <w:sz w:val="24"/>
        </w:rPr>
        <w:t>一是加大经费投入，完善基础设施建设。2018年，我院扶贫资金投入40万元，用于当地基础设施建设、党群服务中心设备完善、农业生产扶持、贫困学生教育资助等。对扶贫点捐赠30台电脑，138台电视，有利地改善了当地村民生产生活条件。协助雅化村加强对2.2公里乡知青场-村委会办公点村道加宽、900米社道硬化、村文化广场扩建、6社杜家沟水库提灌站新建、5社邝家岩道路桥新建、安装路灯80盏、确保易地扶贫搬迁集中安置点27户78人的建房、110余户危房改造、17户机压水井钻探任务；协助潼梓村新建减压池2个，重新铺设用水管网，最终让老百姓喝到了安全的自来水。</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二是拓展产业生产发展规模，提高脱贫造血功能。在雅化村，不断壮大香椿种植规模，为90余名雅化村群众带来了近20万元的收益，人均增收1500元左右，为村集体经济创收7000元/年；在狮子村，着力发展大头菜种植业，引进香菇、天麻种植，已建的10个天麻大棚给村集体经济带来3万余元的收入，夏菇的收成近5万斤，村集体从中分红1.5万元；在潼梓村，重点发展绿壳蛋鸡、肉牛养殖、小水果三大特色产业。2018年，建成200亩藤椒园1个，绿壳蛋鸡产业园区1个，绿壳蛋鸡孵化中心1个，脆桃园2个，并积极探索创建电商扶贫新模式，拓宽销售渠道益；在五房村，通过招商引资，流转荒地，已建成土鸡养殖产业230亩，实现年出栏10万羽，村集体经济收入3万元。同菇宝菌业共建香菇种植园区，年出菇50万棒，实现村集体经济收入4万元；在拉尼村，驻村干部积极与县农牧科技局对接，科学分析拉尼村黑青稞产业基地产量低的问题；与扶贫局对接，论证在拉尼村建立甘孜马铃薯基地建设。</w:t>
      </w:r>
      <w:r>
        <w:rPr>
          <w:rFonts w:hint="eastAsia" w:ascii="宋体" w:hAnsi="宋体" w:cs="宋体"/>
          <w:sz w:val="24"/>
        </w:rPr>
        <w:t>    </w:t>
      </w:r>
    </w:p>
    <w:p>
      <w:pPr>
        <w:spacing w:line="360" w:lineRule="auto"/>
        <w:ind w:firstLine="480" w:firstLineChars="200"/>
        <w:rPr>
          <w:rFonts w:ascii="仿宋" w:hAnsi="仿宋" w:eastAsia="仿宋" w:cs="楷体"/>
          <w:bCs/>
          <w:sz w:val="24"/>
        </w:rPr>
      </w:pPr>
      <w:r>
        <w:rPr>
          <w:rFonts w:hint="eastAsia" w:ascii="仿宋" w:hAnsi="仿宋" w:eastAsia="仿宋"/>
          <w:sz w:val="24"/>
        </w:rPr>
        <w:t>3.抓好扶志、扶智工作，广泛提升群众思想素养</w:t>
      </w:r>
    </w:p>
    <w:p>
      <w:pPr>
        <w:spacing w:line="360" w:lineRule="auto"/>
        <w:ind w:firstLine="360" w:firstLineChars="150"/>
        <w:rPr>
          <w:rFonts w:ascii="仿宋" w:hAnsi="仿宋" w:eastAsia="仿宋" w:cs="仿宋"/>
          <w:sz w:val="24"/>
        </w:rPr>
      </w:pPr>
      <w:r>
        <w:rPr>
          <w:rFonts w:hint="eastAsia" w:ascii="仿宋" w:hAnsi="仿宋" w:eastAsia="仿宋" w:cs="仿宋_GB2312"/>
          <w:sz w:val="24"/>
        </w:rPr>
        <w:t>一是强化党建引领效能，以党建促脱贫攻坚。通过组织联建、党员联管、活动联办、人才联育、资源联用、产业联促、治理联抓等方式实现城乡党组织之间的互联互帮、相融相促。学院院领导亲自带队到村分社开展政策宣讲、交流座谈、产业调研、入户慰问等活动，强化群众的感恩教育，为扶贫开辟“扶志扶智”通道。扎实开展</w:t>
      </w:r>
      <w:r>
        <w:rPr>
          <w:rFonts w:hint="eastAsia" w:ascii="仿宋" w:hAnsi="仿宋" w:eastAsia="仿宋" w:cs="仿宋"/>
          <w:sz w:val="24"/>
        </w:rPr>
        <w:t>“</w:t>
      </w:r>
      <w:r>
        <w:rPr>
          <w:rFonts w:hint="eastAsia" w:ascii="仿宋" w:hAnsi="仿宋" w:eastAsia="仿宋" w:cs="仿宋_GB2312"/>
          <w:sz w:val="24"/>
        </w:rPr>
        <w:t>农民夜校”等活动，采取阵地集中培训、院坝分组教学、现场技术指导、入户单独施教等方式，宣讲方针政策、宣传法制法规、传授生产技术、引导文明新风，统一制作农民夜校校徽、校旗、校服等，积极营造良好的夜校培训学习氛围。</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二是深入基层调研，开展多渠道培训。学院领导及</w:t>
      </w:r>
      <w:r>
        <w:rPr>
          <w:rFonts w:ascii="仿宋" w:hAnsi="仿宋" w:eastAsia="仿宋" w:cs="仿宋_GB2312"/>
          <w:sz w:val="24"/>
        </w:rPr>
        <w:t>相关部门负责人深入甘孜县</w:t>
      </w:r>
      <w:r>
        <w:rPr>
          <w:rFonts w:hint="eastAsia" w:ascii="仿宋" w:hAnsi="仿宋" w:eastAsia="仿宋" w:cs="仿宋_GB2312"/>
          <w:sz w:val="24"/>
        </w:rPr>
        <w:t>、渠县</w:t>
      </w:r>
      <w:r>
        <w:rPr>
          <w:rFonts w:ascii="仿宋" w:hAnsi="仿宋" w:eastAsia="仿宋" w:cs="仿宋_GB2312"/>
          <w:sz w:val="24"/>
        </w:rPr>
        <w:t>开展了人才需求调研工作</w:t>
      </w:r>
      <w:r>
        <w:rPr>
          <w:rFonts w:hint="eastAsia" w:ascii="仿宋" w:hAnsi="仿宋" w:eastAsia="仿宋" w:cs="仿宋_GB2312"/>
          <w:sz w:val="24"/>
        </w:rPr>
        <w:t>，制定了我院举办的第一届深度贫困县免费定向班2018级财务管理专业人才培养方案，并主动为甘孜县教育系统51名财务人员提供免费的一期财务培训、与天府学院联合为县财政系统160名财务人员提供一期财务管理培训，提高了财务人员的业务能力。</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三是共建校政合作基地，为地方经济助力。学院积极与基层财政局建立校政合作基地，为我院大学生校外实习和就业搭建平台。应五个区县财政局要求，选派了60多名大三学生到基层财政部门顶岗实习，为当地经济和地方发展服务。</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四是开展丰富多彩的活动，树文明新风。为留守儿童和贫困学生开设通识教育课堂、</w:t>
      </w:r>
      <w:r>
        <w:rPr>
          <w:rFonts w:ascii="仿宋" w:hAnsi="仿宋" w:eastAsia="仿宋" w:cs="仿宋_GB2312"/>
          <w:sz w:val="24"/>
        </w:rPr>
        <w:t>开展“扶志院坝行”活动</w:t>
      </w:r>
      <w:r>
        <w:rPr>
          <w:rFonts w:hint="eastAsia" w:ascii="仿宋" w:hAnsi="仿宋" w:eastAsia="仿宋" w:cs="仿宋_GB2312"/>
          <w:sz w:val="24"/>
        </w:rPr>
        <w:t>、组织实施村民道德积分制、开群众大会宣传环保的重要性，到户发动老白姓整治环境，基本改善了当地的村容村貌。</w:t>
      </w:r>
    </w:p>
    <w:p>
      <w:pPr>
        <w:spacing w:line="360" w:lineRule="auto"/>
        <w:jc w:val="center"/>
        <w:rPr>
          <w:rFonts w:ascii="仿宋" w:hAnsi="仿宋" w:eastAsia="仿宋" w:cs="仿宋_GB2312"/>
          <w:sz w:val="24"/>
        </w:rPr>
      </w:pPr>
      <w:r>
        <w:rPr>
          <w:rFonts w:hint="eastAsia" w:ascii="仿宋" w:hAnsi="仿宋" w:eastAsia="仿宋" w:cs="仿宋_GB2312"/>
          <w:sz w:val="24"/>
        </w:rPr>
        <w:drawing>
          <wp:inline distT="0" distB="0" distL="114300" distR="114300">
            <wp:extent cx="1994535" cy="1496060"/>
            <wp:effectExtent l="0" t="0" r="5715" b="8890"/>
            <wp:docPr id="40" name="图片 40" descr="05180123yh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5180123yh9j"/>
                    <pic:cNvPicPr>
                      <a:picLocks noChangeAspect="1"/>
                    </pic:cNvPicPr>
                  </pic:nvPicPr>
                  <pic:blipFill>
                    <a:blip r:embed="rId42"/>
                    <a:stretch>
                      <a:fillRect/>
                    </a:stretch>
                  </pic:blipFill>
                  <pic:spPr>
                    <a:xfrm>
                      <a:off x="0" y="0"/>
                      <a:ext cx="1994535" cy="1496060"/>
                    </a:xfrm>
                    <a:prstGeom prst="rect">
                      <a:avLst/>
                    </a:prstGeom>
                  </pic:spPr>
                </pic:pic>
              </a:graphicData>
            </a:graphic>
          </wp:inline>
        </w:drawing>
      </w:r>
      <w:r>
        <w:rPr>
          <w:rFonts w:hint="eastAsia" w:ascii="仿宋" w:hAnsi="仿宋" w:eastAsia="仿宋" w:cs="仿宋_GB2312"/>
          <w:sz w:val="24"/>
        </w:rPr>
        <w:t xml:space="preserve">  </w:t>
      </w:r>
      <w:r>
        <w:rPr>
          <w:rFonts w:hint="eastAsia" w:ascii="仿宋" w:hAnsi="仿宋" w:eastAsia="仿宋" w:cs="仿宋_GB2312"/>
          <w:sz w:val="24"/>
        </w:rPr>
        <w:drawing>
          <wp:inline distT="0" distB="0" distL="114300" distR="114300">
            <wp:extent cx="2023745" cy="1518285"/>
            <wp:effectExtent l="0" t="0" r="14605" b="5715"/>
            <wp:docPr id="41" name="图片 41" descr="19233550ov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9233550ovmt"/>
                    <pic:cNvPicPr>
                      <a:picLocks noChangeAspect="1"/>
                    </pic:cNvPicPr>
                  </pic:nvPicPr>
                  <pic:blipFill>
                    <a:blip r:embed="rId43"/>
                    <a:stretch>
                      <a:fillRect/>
                    </a:stretch>
                  </pic:blipFill>
                  <pic:spPr>
                    <a:xfrm>
                      <a:off x="0" y="0"/>
                      <a:ext cx="2023745" cy="1518285"/>
                    </a:xfrm>
                    <a:prstGeom prst="rect">
                      <a:avLst/>
                    </a:prstGeom>
                  </pic:spPr>
                </pic:pic>
              </a:graphicData>
            </a:graphic>
          </wp:inline>
        </w:drawing>
      </w:r>
    </w:p>
    <w:p>
      <w:pPr>
        <w:spacing w:line="360" w:lineRule="auto"/>
        <w:jc w:val="center"/>
        <w:rPr>
          <w:rFonts w:ascii="仿宋" w:hAnsi="仿宋" w:eastAsia="仿宋" w:cs="仿宋_GB2312"/>
          <w:sz w:val="24"/>
        </w:rPr>
      </w:pPr>
      <w:r>
        <w:rPr>
          <w:rFonts w:hint="eastAsia" w:ascii="仿宋" w:hAnsi="仿宋" w:eastAsia="仿宋" w:cs="仿宋_GB2312"/>
          <w:sz w:val="24"/>
        </w:rPr>
        <w:drawing>
          <wp:inline distT="0" distB="0" distL="114300" distR="114300">
            <wp:extent cx="1986280" cy="1490345"/>
            <wp:effectExtent l="0" t="0" r="13970" b="14605"/>
            <wp:docPr id="42" name="图片 42" descr="30231626ak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231626akpq"/>
                    <pic:cNvPicPr>
                      <a:picLocks noChangeAspect="1"/>
                    </pic:cNvPicPr>
                  </pic:nvPicPr>
                  <pic:blipFill>
                    <a:blip r:embed="rId44"/>
                    <a:stretch>
                      <a:fillRect/>
                    </a:stretch>
                  </pic:blipFill>
                  <pic:spPr>
                    <a:xfrm>
                      <a:off x="0" y="0"/>
                      <a:ext cx="1986280" cy="1490345"/>
                    </a:xfrm>
                    <a:prstGeom prst="rect">
                      <a:avLst/>
                    </a:prstGeom>
                  </pic:spPr>
                </pic:pic>
              </a:graphicData>
            </a:graphic>
          </wp:inline>
        </w:drawing>
      </w:r>
      <w:r>
        <w:rPr>
          <w:rFonts w:hint="eastAsia" w:ascii="仿宋" w:hAnsi="仿宋" w:eastAsia="仿宋" w:cs="仿宋_GB2312"/>
          <w:sz w:val="24"/>
        </w:rPr>
        <w:t xml:space="preserve">  </w:t>
      </w:r>
      <w:r>
        <w:rPr>
          <w:rFonts w:hint="eastAsia" w:ascii="仿宋" w:hAnsi="仿宋" w:eastAsia="仿宋" w:cs="仿宋_GB2312"/>
          <w:sz w:val="24"/>
        </w:rPr>
        <w:drawing>
          <wp:inline distT="0" distB="0" distL="114300" distR="114300">
            <wp:extent cx="2044065" cy="1514475"/>
            <wp:effectExtent l="0" t="0" r="13335" b="9525"/>
            <wp:docPr id="45" name="图片 45" descr="29180623b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9180623b055"/>
                    <pic:cNvPicPr>
                      <a:picLocks noChangeAspect="1"/>
                    </pic:cNvPicPr>
                  </pic:nvPicPr>
                  <pic:blipFill>
                    <a:blip r:embed="rId45"/>
                    <a:stretch>
                      <a:fillRect/>
                    </a:stretch>
                  </pic:blipFill>
                  <pic:spPr>
                    <a:xfrm>
                      <a:off x="0" y="0"/>
                      <a:ext cx="2044065" cy="1514475"/>
                    </a:xfrm>
                    <a:prstGeom prst="rect">
                      <a:avLst/>
                    </a:prstGeom>
                  </pic:spPr>
                </pic:pic>
              </a:graphicData>
            </a:graphic>
          </wp:inline>
        </w:drawing>
      </w:r>
    </w:p>
    <w:p>
      <w:pPr>
        <w:pStyle w:val="14"/>
        <w:spacing w:before="0" w:beforeAutospacing="0" w:after="120" w:afterAutospacing="0" w:line="375" w:lineRule="atLeast"/>
        <w:ind w:firstLine="420"/>
        <w:jc w:val="center"/>
        <w:rPr>
          <w:rFonts w:eastAsia="仿宋"/>
          <w:sz w:val="21"/>
          <w:szCs w:val="21"/>
        </w:rPr>
      </w:pPr>
      <w:r>
        <w:rPr>
          <w:rFonts w:hint="eastAsia" w:ascii="仿宋" w:hAnsi="仿宋" w:eastAsia="仿宋"/>
          <w:b/>
          <w:sz w:val="21"/>
          <w:szCs w:val="21"/>
        </w:rPr>
        <w:t>图7.1 2018年精准扶贫部分图片</w:t>
      </w:r>
    </w:p>
    <w:p>
      <w:pPr>
        <w:spacing w:line="360" w:lineRule="auto"/>
        <w:rPr>
          <w:rFonts w:ascii="仿宋" w:hAnsi="仿宋" w:eastAsia="仿宋" w:cs="仿宋_GB2312"/>
          <w:sz w:val="24"/>
        </w:rPr>
      </w:pP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4" w:name="_Toc533491227"/>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（二）拓展社会培训，职业教育、培训两手抓</w:t>
      </w:r>
      <w:bookmarkEnd w:id="104"/>
    </w:p>
    <w:p>
      <w:pPr>
        <w:spacing w:line="360" w:lineRule="auto"/>
        <w:ind w:firstLine="435"/>
        <w:jc w:val="left"/>
        <w:rPr>
          <w:rFonts w:ascii="仿宋" w:hAnsi="仿宋" w:eastAsia="仿宋"/>
          <w:bCs/>
          <w:sz w:val="24"/>
        </w:rPr>
      </w:pPr>
      <w:r>
        <w:rPr>
          <w:rFonts w:hint="eastAsia" w:ascii="仿宋" w:hAnsi="仿宋" w:eastAsia="仿宋"/>
          <w:bCs/>
          <w:sz w:val="24"/>
        </w:rPr>
        <w:t>2018年度，</w:t>
      </w:r>
      <w:r>
        <w:rPr>
          <w:rFonts w:hint="eastAsia" w:ascii="仿宋" w:hAnsi="仿宋" w:eastAsia="仿宋"/>
          <w:kern w:val="0"/>
          <w:sz w:val="24"/>
        </w:rPr>
        <w:t>学院继续教育中心</w:t>
      </w:r>
      <w:r>
        <w:rPr>
          <w:rFonts w:hint="eastAsia" w:ascii="仿宋" w:hAnsi="仿宋" w:eastAsia="仿宋"/>
          <w:bCs/>
          <w:sz w:val="24"/>
        </w:rPr>
        <w:t>主要承办了11个单位的25期干部培训班，培训学员1,556人次，完成教学天数169天，完成报到服务25次，取得培训收入317.225万元，在院级师资库中选聘了93位教师承担今年的培训授课任务，全年完成教学总课时1,325学时。</w:t>
      </w:r>
      <w:r>
        <w:rPr>
          <w:rFonts w:hint="eastAsia" w:ascii="仿宋" w:hAnsi="仿宋" w:eastAsia="仿宋"/>
          <w:kern w:val="0"/>
          <w:sz w:val="24"/>
        </w:rPr>
        <w:t>具体情况如下表所示。</w:t>
      </w:r>
    </w:p>
    <w:p>
      <w:pPr>
        <w:spacing w:line="360" w:lineRule="auto"/>
        <w:jc w:val="center"/>
        <w:rPr>
          <w:rFonts w:ascii="仿宋" w:hAnsi="仿宋" w:eastAsia="仿宋"/>
          <w:b/>
          <w:szCs w:val="21"/>
        </w:rPr>
      </w:pPr>
      <w:r>
        <w:rPr>
          <w:rFonts w:hint="eastAsia" w:ascii="仿宋" w:hAnsi="仿宋" w:eastAsia="仿宋"/>
          <w:b/>
          <w:szCs w:val="21"/>
        </w:rPr>
        <w:t>表7.1  2018年度学院承担干部培训任务数据统计表</w:t>
      </w:r>
    </w:p>
    <w:tbl>
      <w:tblPr>
        <w:tblStyle w:val="19"/>
        <w:tblW w:w="9221" w:type="dxa"/>
        <w:jc w:val="center"/>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3810"/>
        <w:gridCol w:w="709"/>
        <w:gridCol w:w="850"/>
        <w:gridCol w:w="851"/>
        <w:gridCol w:w="850"/>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85" w:type="dxa"/>
            <w:tcBorders>
              <w:right w:val="single" w:color="auto" w:sz="4" w:space="0"/>
            </w:tcBorders>
            <w:vAlign w:val="center"/>
          </w:tcPr>
          <w:p>
            <w:pPr>
              <w:jc w:val="center"/>
              <w:rPr>
                <w:rFonts w:ascii="仿宋" w:hAnsi="仿宋" w:eastAsia="仿宋"/>
                <w:szCs w:val="21"/>
              </w:rPr>
            </w:pPr>
            <w:r>
              <w:rPr>
                <w:rFonts w:ascii="仿宋" w:hAnsi="仿宋" w:eastAsia="仿宋"/>
                <w:szCs w:val="21"/>
              </w:rPr>
              <w:t>序号</w:t>
            </w:r>
          </w:p>
        </w:tc>
        <w:tc>
          <w:tcPr>
            <w:tcW w:w="381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培训项目</w:t>
            </w:r>
          </w:p>
        </w:tc>
        <w:tc>
          <w:tcPr>
            <w:tcW w:w="709" w:type="dxa"/>
            <w:tcBorders>
              <w:left w:val="single" w:color="auto" w:sz="4" w:space="0"/>
              <w:right w:val="single" w:color="auto" w:sz="4" w:space="0"/>
            </w:tcBorders>
          </w:tcPr>
          <w:p>
            <w:pPr>
              <w:jc w:val="center"/>
              <w:rPr>
                <w:rFonts w:ascii="仿宋" w:hAnsi="仿宋" w:eastAsia="仿宋"/>
                <w:szCs w:val="21"/>
              </w:rPr>
            </w:pPr>
            <w:r>
              <w:rPr>
                <w:rFonts w:hint="eastAsia" w:ascii="仿宋" w:hAnsi="仿宋" w:eastAsia="仿宋"/>
                <w:szCs w:val="21"/>
              </w:rPr>
              <w:t>培训</w:t>
            </w:r>
          </w:p>
          <w:p>
            <w:pPr>
              <w:jc w:val="center"/>
              <w:rPr>
                <w:rFonts w:ascii="仿宋" w:hAnsi="仿宋" w:eastAsia="仿宋"/>
                <w:szCs w:val="21"/>
              </w:rPr>
            </w:pPr>
            <w:r>
              <w:rPr>
                <w:rFonts w:hint="eastAsia" w:ascii="仿宋" w:hAnsi="仿宋" w:eastAsia="仿宋"/>
                <w:szCs w:val="21"/>
              </w:rPr>
              <w:t>期数</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培训</w:t>
            </w:r>
          </w:p>
          <w:p>
            <w:pPr>
              <w:jc w:val="center"/>
              <w:rPr>
                <w:rFonts w:ascii="仿宋" w:hAnsi="仿宋" w:eastAsia="仿宋"/>
                <w:szCs w:val="21"/>
              </w:rPr>
            </w:pPr>
            <w:r>
              <w:rPr>
                <w:rFonts w:ascii="仿宋" w:hAnsi="仿宋" w:eastAsia="仿宋"/>
                <w:szCs w:val="21"/>
              </w:rPr>
              <w:t>模式</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培训</w:t>
            </w:r>
          </w:p>
          <w:p>
            <w:pPr>
              <w:jc w:val="center"/>
              <w:rPr>
                <w:rFonts w:ascii="仿宋" w:hAnsi="仿宋" w:eastAsia="仿宋"/>
                <w:szCs w:val="21"/>
              </w:rPr>
            </w:pPr>
            <w:r>
              <w:rPr>
                <w:rFonts w:ascii="仿宋" w:hAnsi="仿宋" w:eastAsia="仿宋"/>
                <w:szCs w:val="21"/>
              </w:rPr>
              <w:t>人数</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教学</w:t>
            </w:r>
          </w:p>
          <w:p>
            <w:pPr>
              <w:jc w:val="center"/>
              <w:rPr>
                <w:rFonts w:ascii="仿宋" w:hAnsi="仿宋" w:eastAsia="仿宋"/>
                <w:szCs w:val="21"/>
              </w:rPr>
            </w:pPr>
            <w:r>
              <w:rPr>
                <w:rFonts w:ascii="仿宋" w:hAnsi="仿宋" w:eastAsia="仿宋"/>
                <w:szCs w:val="21"/>
              </w:rPr>
              <w:t>天数</w:t>
            </w:r>
          </w:p>
        </w:tc>
        <w:tc>
          <w:tcPr>
            <w:tcW w:w="1566" w:type="dxa"/>
            <w:tcBorders>
              <w:left w:val="single" w:color="auto" w:sz="4" w:space="0"/>
            </w:tcBorders>
            <w:vAlign w:val="center"/>
          </w:tcPr>
          <w:p>
            <w:pPr>
              <w:jc w:val="center"/>
              <w:rPr>
                <w:rFonts w:ascii="仿宋" w:hAnsi="仿宋" w:eastAsia="仿宋"/>
                <w:szCs w:val="21"/>
              </w:rPr>
            </w:pPr>
            <w:r>
              <w:rPr>
                <w:rFonts w:ascii="仿宋" w:hAnsi="仿宋" w:eastAsia="仿宋"/>
                <w:szCs w:val="21"/>
              </w:rPr>
              <w:t>送培单位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85" w:type="dxa"/>
            <w:tcBorders>
              <w:right w:val="single" w:color="auto" w:sz="4" w:space="0"/>
            </w:tcBorders>
            <w:vAlign w:val="center"/>
          </w:tcPr>
          <w:p>
            <w:pPr>
              <w:jc w:val="center"/>
              <w:rPr>
                <w:rFonts w:ascii="仿宋" w:hAnsi="仿宋" w:eastAsia="仿宋"/>
                <w:szCs w:val="21"/>
              </w:rPr>
            </w:pPr>
            <w:r>
              <w:rPr>
                <w:rFonts w:ascii="仿宋" w:hAnsi="仿宋" w:eastAsia="仿宋"/>
                <w:szCs w:val="21"/>
              </w:rPr>
              <w:t>1</w:t>
            </w:r>
          </w:p>
        </w:tc>
        <w:tc>
          <w:tcPr>
            <w:tcW w:w="3810" w:type="dxa"/>
            <w:tcBorders>
              <w:left w:val="single" w:color="auto" w:sz="4" w:space="0"/>
              <w:right w:val="single" w:color="auto" w:sz="4" w:space="0"/>
            </w:tcBorders>
            <w:vAlign w:val="center"/>
          </w:tcPr>
          <w:p>
            <w:pPr>
              <w:jc w:val="left"/>
              <w:rPr>
                <w:rFonts w:ascii="仿宋" w:hAnsi="仿宋" w:eastAsia="仿宋"/>
                <w:szCs w:val="21"/>
              </w:rPr>
            </w:pPr>
            <w:r>
              <w:rPr>
                <w:rFonts w:ascii="仿宋" w:hAnsi="仿宋" w:eastAsia="仿宋"/>
                <w:szCs w:val="21"/>
              </w:rPr>
              <w:t>全省乡镇财政干部培训班</w:t>
            </w:r>
          </w:p>
        </w:tc>
        <w:tc>
          <w:tcPr>
            <w:tcW w:w="709"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4</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讲授</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195</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20</w:t>
            </w:r>
          </w:p>
        </w:tc>
        <w:tc>
          <w:tcPr>
            <w:tcW w:w="1566" w:type="dxa"/>
            <w:tcBorders>
              <w:left w:val="single" w:color="auto" w:sz="4" w:space="0"/>
            </w:tcBorders>
            <w:vAlign w:val="center"/>
          </w:tcPr>
          <w:p>
            <w:pPr>
              <w:jc w:val="center"/>
              <w:rPr>
                <w:rFonts w:ascii="仿宋" w:hAnsi="仿宋" w:eastAsia="仿宋"/>
                <w:szCs w:val="21"/>
              </w:rPr>
            </w:pPr>
            <w:r>
              <w:rPr>
                <w:rFonts w:ascii="仿宋" w:hAnsi="仿宋" w:eastAsia="仿宋"/>
                <w:szCs w:val="21"/>
              </w:rPr>
              <w:t>四川省财政厅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85" w:type="dxa"/>
            <w:tcBorders>
              <w:right w:val="single" w:color="auto" w:sz="4" w:space="0"/>
            </w:tcBorders>
            <w:vAlign w:val="center"/>
          </w:tcPr>
          <w:p>
            <w:pPr>
              <w:jc w:val="center"/>
              <w:rPr>
                <w:rFonts w:ascii="仿宋" w:hAnsi="仿宋" w:eastAsia="仿宋"/>
                <w:szCs w:val="21"/>
              </w:rPr>
            </w:pPr>
            <w:r>
              <w:rPr>
                <w:rFonts w:hint="eastAsia" w:ascii="仿宋" w:hAnsi="仿宋" w:eastAsia="仿宋"/>
                <w:szCs w:val="21"/>
              </w:rPr>
              <w:t>2</w:t>
            </w:r>
          </w:p>
        </w:tc>
        <w:tc>
          <w:tcPr>
            <w:tcW w:w="3810" w:type="dxa"/>
            <w:tcBorders>
              <w:left w:val="single" w:color="auto" w:sz="4" w:space="0"/>
              <w:right w:val="single" w:color="auto" w:sz="4" w:space="0"/>
            </w:tcBorders>
            <w:vAlign w:val="center"/>
          </w:tcPr>
          <w:p>
            <w:pPr>
              <w:jc w:val="left"/>
              <w:rPr>
                <w:rFonts w:ascii="仿宋" w:hAnsi="仿宋" w:eastAsia="仿宋"/>
                <w:szCs w:val="21"/>
              </w:rPr>
            </w:pPr>
            <w:r>
              <w:rPr>
                <w:rFonts w:hint="eastAsia" w:ascii="仿宋" w:hAnsi="仿宋" w:eastAsia="仿宋"/>
                <w:szCs w:val="21"/>
              </w:rPr>
              <w:t>中职会计专业双师型教师</w:t>
            </w:r>
            <w:r>
              <w:rPr>
                <w:rFonts w:ascii="仿宋" w:hAnsi="仿宋" w:eastAsia="仿宋"/>
                <w:szCs w:val="21"/>
              </w:rPr>
              <w:t>培训班</w:t>
            </w:r>
          </w:p>
        </w:tc>
        <w:tc>
          <w:tcPr>
            <w:tcW w:w="709"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讲授</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56</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40</w:t>
            </w:r>
          </w:p>
        </w:tc>
        <w:tc>
          <w:tcPr>
            <w:tcW w:w="1566" w:type="dxa"/>
            <w:tcBorders>
              <w:left w:val="single" w:color="auto" w:sz="4" w:space="0"/>
            </w:tcBorders>
            <w:vAlign w:val="center"/>
          </w:tcPr>
          <w:p>
            <w:pPr>
              <w:jc w:val="center"/>
              <w:rPr>
                <w:rFonts w:ascii="仿宋" w:hAnsi="仿宋" w:eastAsia="仿宋"/>
                <w:szCs w:val="21"/>
              </w:rPr>
            </w:pPr>
            <w:r>
              <w:rPr>
                <w:rFonts w:ascii="仿宋" w:hAnsi="仿宋" w:eastAsia="仿宋"/>
                <w:szCs w:val="21"/>
              </w:rPr>
              <w:t>四川省</w:t>
            </w:r>
            <w:r>
              <w:rPr>
                <w:rFonts w:hint="eastAsia" w:ascii="仿宋" w:hAnsi="仿宋" w:eastAsia="仿宋"/>
                <w:szCs w:val="21"/>
              </w:rPr>
              <w:t>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85" w:type="dxa"/>
            <w:tcBorders>
              <w:right w:val="single" w:color="auto" w:sz="4" w:space="0"/>
            </w:tcBorders>
            <w:vAlign w:val="center"/>
          </w:tcPr>
          <w:p>
            <w:pPr>
              <w:jc w:val="center"/>
              <w:rPr>
                <w:rFonts w:ascii="仿宋" w:hAnsi="仿宋" w:eastAsia="仿宋"/>
                <w:szCs w:val="21"/>
              </w:rPr>
            </w:pPr>
            <w:r>
              <w:rPr>
                <w:rFonts w:hint="eastAsia" w:ascii="仿宋" w:hAnsi="仿宋" w:eastAsia="仿宋"/>
                <w:szCs w:val="21"/>
              </w:rPr>
              <w:t>3</w:t>
            </w:r>
          </w:p>
        </w:tc>
        <w:tc>
          <w:tcPr>
            <w:tcW w:w="3810" w:type="dxa"/>
            <w:tcBorders>
              <w:left w:val="single" w:color="auto" w:sz="4" w:space="0"/>
              <w:right w:val="single" w:color="auto" w:sz="4" w:space="0"/>
            </w:tcBorders>
            <w:vAlign w:val="center"/>
          </w:tcPr>
          <w:p>
            <w:pPr>
              <w:jc w:val="left"/>
              <w:rPr>
                <w:rFonts w:ascii="仿宋" w:hAnsi="仿宋" w:eastAsia="仿宋"/>
                <w:szCs w:val="21"/>
              </w:rPr>
            </w:pPr>
            <w:r>
              <w:rPr>
                <w:rFonts w:hint="eastAsia" w:ascii="仿宋" w:hAnsi="仿宋" w:eastAsia="仿宋"/>
                <w:szCs w:val="21"/>
              </w:rPr>
              <w:t>高职市场营销专业双师型教师</w:t>
            </w:r>
            <w:r>
              <w:rPr>
                <w:rFonts w:ascii="仿宋" w:hAnsi="仿宋" w:eastAsia="仿宋"/>
                <w:szCs w:val="21"/>
              </w:rPr>
              <w:t>培训班</w:t>
            </w:r>
          </w:p>
        </w:tc>
        <w:tc>
          <w:tcPr>
            <w:tcW w:w="709"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讲授</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50</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40</w:t>
            </w:r>
          </w:p>
        </w:tc>
        <w:tc>
          <w:tcPr>
            <w:tcW w:w="1566" w:type="dxa"/>
            <w:tcBorders>
              <w:left w:val="single" w:color="auto" w:sz="4" w:space="0"/>
            </w:tcBorders>
            <w:vAlign w:val="center"/>
          </w:tcPr>
          <w:p>
            <w:pPr>
              <w:jc w:val="center"/>
              <w:rPr>
                <w:rFonts w:ascii="仿宋" w:hAnsi="仿宋" w:eastAsia="仿宋"/>
                <w:szCs w:val="21"/>
              </w:rPr>
            </w:pPr>
            <w:r>
              <w:rPr>
                <w:rFonts w:hint="eastAsia" w:ascii="仿宋" w:hAnsi="仿宋" w:eastAsia="仿宋"/>
                <w:szCs w:val="21"/>
              </w:rPr>
              <w:t>四川省教育厅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85" w:type="dxa"/>
            <w:tcBorders>
              <w:right w:val="single" w:color="auto" w:sz="4" w:space="0"/>
            </w:tcBorders>
            <w:vAlign w:val="center"/>
          </w:tcPr>
          <w:p>
            <w:pPr>
              <w:jc w:val="center"/>
              <w:rPr>
                <w:rFonts w:ascii="仿宋" w:hAnsi="仿宋" w:eastAsia="仿宋"/>
                <w:szCs w:val="21"/>
              </w:rPr>
            </w:pPr>
            <w:r>
              <w:rPr>
                <w:rFonts w:hint="eastAsia" w:ascii="仿宋" w:hAnsi="仿宋" w:eastAsia="仿宋"/>
                <w:szCs w:val="21"/>
              </w:rPr>
              <w:t>4</w:t>
            </w:r>
          </w:p>
        </w:tc>
        <w:tc>
          <w:tcPr>
            <w:tcW w:w="3810" w:type="dxa"/>
            <w:tcBorders>
              <w:left w:val="single" w:color="auto" w:sz="4" w:space="0"/>
              <w:right w:val="single" w:color="auto" w:sz="4" w:space="0"/>
            </w:tcBorders>
            <w:vAlign w:val="center"/>
          </w:tcPr>
          <w:p>
            <w:pPr>
              <w:jc w:val="left"/>
              <w:rPr>
                <w:rFonts w:ascii="仿宋" w:hAnsi="仿宋" w:eastAsia="仿宋"/>
                <w:szCs w:val="21"/>
              </w:rPr>
            </w:pPr>
            <w:r>
              <w:rPr>
                <w:rFonts w:hint="eastAsia" w:ascii="仿宋" w:hAnsi="仿宋" w:eastAsia="仿宋"/>
                <w:szCs w:val="21"/>
              </w:rPr>
              <w:t>基层干部财会知识培训</w:t>
            </w:r>
            <w:r>
              <w:rPr>
                <w:rFonts w:ascii="仿宋" w:hAnsi="仿宋" w:eastAsia="仿宋"/>
                <w:szCs w:val="21"/>
              </w:rPr>
              <w:t>班</w:t>
            </w:r>
          </w:p>
        </w:tc>
        <w:tc>
          <w:tcPr>
            <w:tcW w:w="709"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17</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ascii="仿宋" w:hAnsi="仿宋" w:eastAsia="仿宋"/>
                <w:szCs w:val="21"/>
              </w:rPr>
              <w:t>讲授</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1255</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69</w:t>
            </w:r>
          </w:p>
        </w:tc>
        <w:tc>
          <w:tcPr>
            <w:tcW w:w="1566" w:type="dxa"/>
            <w:tcBorders>
              <w:left w:val="single" w:color="auto" w:sz="4" w:space="0"/>
            </w:tcBorders>
            <w:vAlign w:val="center"/>
          </w:tcPr>
          <w:p>
            <w:pPr>
              <w:jc w:val="center"/>
              <w:rPr>
                <w:rFonts w:ascii="仿宋" w:hAnsi="仿宋" w:eastAsia="仿宋"/>
                <w:szCs w:val="21"/>
              </w:rPr>
            </w:pPr>
            <w:r>
              <w:rPr>
                <w:rFonts w:hint="eastAsia" w:ascii="仿宋" w:hAnsi="仿宋" w:eastAsia="仿宋"/>
                <w:szCs w:val="21"/>
              </w:rPr>
              <w:t>部分基层单位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395" w:type="dxa"/>
            <w:gridSpan w:val="2"/>
            <w:tcBorders>
              <w:right w:val="single" w:color="auto" w:sz="4" w:space="0"/>
            </w:tcBorders>
            <w:vAlign w:val="center"/>
          </w:tcPr>
          <w:p>
            <w:pPr>
              <w:jc w:val="center"/>
              <w:rPr>
                <w:rFonts w:ascii="仿宋" w:hAnsi="仿宋" w:eastAsia="仿宋"/>
                <w:b/>
                <w:szCs w:val="21"/>
              </w:rPr>
            </w:pPr>
            <w:r>
              <w:rPr>
                <w:rFonts w:hint="eastAsia" w:ascii="仿宋" w:hAnsi="仿宋" w:eastAsia="仿宋"/>
                <w:b/>
                <w:szCs w:val="21"/>
              </w:rPr>
              <w:t>合 计</w:t>
            </w:r>
          </w:p>
        </w:tc>
        <w:tc>
          <w:tcPr>
            <w:tcW w:w="709"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25</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w:t>
            </w:r>
          </w:p>
        </w:tc>
        <w:tc>
          <w:tcPr>
            <w:tcW w:w="851"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1556</w:t>
            </w:r>
          </w:p>
        </w:tc>
        <w:tc>
          <w:tcPr>
            <w:tcW w:w="850" w:type="dxa"/>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169</w:t>
            </w:r>
          </w:p>
        </w:tc>
        <w:tc>
          <w:tcPr>
            <w:tcW w:w="1566" w:type="dxa"/>
            <w:tcBorders>
              <w:left w:val="single" w:color="auto" w:sz="4" w:space="0"/>
            </w:tcBorders>
            <w:vAlign w:val="center"/>
          </w:tcPr>
          <w:p>
            <w:pPr>
              <w:jc w:val="center"/>
              <w:rPr>
                <w:rFonts w:ascii="仿宋" w:hAnsi="仿宋" w:eastAsia="仿宋"/>
                <w:szCs w:val="21"/>
              </w:rPr>
            </w:pPr>
            <w:r>
              <w:rPr>
                <w:rFonts w:hint="eastAsia" w:ascii="仿宋" w:hAnsi="仿宋" w:eastAsia="仿宋"/>
                <w:szCs w:val="21"/>
              </w:rPr>
              <w:t>-</w:t>
            </w:r>
          </w:p>
        </w:tc>
      </w:tr>
    </w:tbl>
    <w:p>
      <w:pPr>
        <w:spacing w:line="360" w:lineRule="auto"/>
        <w:ind w:firstLine="482" w:firstLineChars="200"/>
        <w:rPr>
          <w:rFonts w:ascii="仿宋" w:hAnsi="仿宋" w:eastAsia="仿宋"/>
          <w:kern w:val="0"/>
          <w:sz w:val="24"/>
        </w:rPr>
      </w:pPr>
      <w:r>
        <w:rPr>
          <w:rFonts w:hint="eastAsia" w:ascii="仿宋" w:hAnsi="仿宋" w:eastAsia="仿宋"/>
          <w:b/>
          <w:kern w:val="0"/>
          <w:sz w:val="24"/>
        </w:rPr>
        <w:t xml:space="preserve"> </w:t>
      </w:r>
      <w:r>
        <w:rPr>
          <w:rFonts w:hint="eastAsia" w:ascii="仿宋" w:hAnsi="仿宋" w:eastAsia="仿宋"/>
          <w:kern w:val="0"/>
          <w:sz w:val="24"/>
        </w:rPr>
        <w:t>为进一步提高培训质量，学院继续教育中心根据《四川财经职业学院继续教育中心教学质量评价管理办法》《四川财经职业学院继续教育中心综合质量评价管理办法》的规定，在各期培训班中开展培训质量评价调查。本年度参与培训质量评价调查的参训学员共计1,513人，占学员总人数的98.82 %。针对培训需求的满意度评价为95.11%；针对培训管理的满意度评价为96.56%；针对课堂教学的满意度评价为96.63%；针对学习效果的满意度评价为91.34%；针对食宿等后勤服务的满意度评价分别为79.11%和75.55%；除后勤服务外，其他项目均达到优秀等级。</w:t>
      </w:r>
    </w:p>
    <w:p>
      <w:pPr>
        <w:spacing w:line="360" w:lineRule="auto"/>
        <w:ind w:firstLine="480" w:firstLineChars="200"/>
        <w:rPr>
          <w:rFonts w:ascii="仿宋" w:hAnsi="仿宋" w:eastAsia="仿宋"/>
          <w:kern w:val="0"/>
          <w:sz w:val="24"/>
        </w:rPr>
      </w:pPr>
      <w:r>
        <w:rPr>
          <w:rFonts w:hint="eastAsia" w:ascii="仿宋" w:hAnsi="仿宋" w:eastAsia="仿宋"/>
          <w:kern w:val="0"/>
          <w:sz w:val="24"/>
        </w:rPr>
        <w:t>为了深入了解基层干部的培训需求，科学设计培训课程，本年度学院继续教育中心针对482位参训乡镇财政干部进行了培训需求问卷调查，通过整理汇总，相关数据信息为：本年度参训学员女性多于男性（女性占比67.84%）；20-40岁年龄段占比71.36%；本科学历占比65.77%专科学历占比33.20%；从事会计核算的占比51.04%；希望每年参加一次集中脱产培训占比47.30%；希望课堂讲授采用案例教学法的占比68.26%；希望培训新政府会计制度相关内容的占比85.48%，其次是预算管理内容占比63.90%；希望通过培训在业务知识和技能方面获得提高的占比分别为75.52%和78.42%。</w:t>
      </w:r>
    </w:p>
    <w:p>
      <w:pPr>
        <w:spacing w:line="360" w:lineRule="auto"/>
        <w:ind w:firstLine="480" w:firstLineChars="200"/>
        <w:rPr>
          <w:rFonts w:ascii="仿宋" w:hAnsi="仿宋" w:eastAsia="仿宋"/>
          <w:kern w:val="0"/>
          <w:sz w:val="24"/>
        </w:rPr>
      </w:pPr>
      <w:r>
        <w:rPr>
          <w:rFonts w:hint="eastAsia" w:ascii="仿宋" w:hAnsi="仿宋" w:eastAsia="仿宋"/>
          <w:kern w:val="0"/>
          <w:sz w:val="24"/>
        </w:rPr>
        <w:t>对培训班进行培训质量评价和培训需求调查，既是考核学院干部培训质量和效果的有效手段，也是进一步完善培训工作针对性的必要举措，势必不断提升学院社会服务的能力。</w:t>
      </w:r>
    </w:p>
    <w:p>
      <w:pPr>
        <w:spacing w:line="360" w:lineRule="auto"/>
        <w:rPr>
          <w:rFonts w:ascii="仿宋" w:hAnsi="仿宋" w:eastAsia="仿宋"/>
          <w:b/>
          <w:sz w:val="24"/>
        </w:rPr>
      </w:pPr>
      <w:r>
        <w:rPr>
          <w:rFonts w:ascii="仿宋" w:hAnsi="仿宋" w:eastAsia="仿宋"/>
          <w:b/>
          <w:sz w:val="24"/>
        </w:rPr>
        <w:drawing>
          <wp:anchor distT="0" distB="0" distL="114300" distR="114300" simplePos="0" relativeHeight="251650048" behindDoc="0" locked="0" layoutInCell="1" allowOverlap="1">
            <wp:simplePos x="0" y="0"/>
            <wp:positionH relativeFrom="column">
              <wp:posOffset>0</wp:posOffset>
            </wp:positionH>
            <wp:positionV relativeFrom="paragraph">
              <wp:posOffset>34290</wp:posOffset>
            </wp:positionV>
            <wp:extent cx="2296795" cy="1526540"/>
            <wp:effectExtent l="0" t="0" r="8255" b="0"/>
            <wp:wrapSquare wrapText="bothSides"/>
            <wp:docPr id="44" name="图片 44" descr="开班典礼-财政厅2017年度乡镇财政干部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开班典礼-财政厅2017年度乡镇财政干部培训"/>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296795" cy="1526540"/>
                    </a:xfrm>
                    <a:prstGeom prst="rect">
                      <a:avLst/>
                    </a:prstGeom>
                    <a:noFill/>
                    <a:ln>
                      <a:noFill/>
                    </a:ln>
                    <a:effectLst/>
                  </pic:spPr>
                </pic:pic>
              </a:graphicData>
            </a:graphic>
          </wp:anchor>
        </w:drawing>
      </w:r>
      <w:r>
        <w:rPr>
          <w:rFonts w:hint="eastAsia" w:ascii="仿宋" w:hAnsi="仿宋" w:eastAsia="仿宋"/>
          <w:b/>
          <w:sz w:val="24"/>
        </w:rPr>
        <w:t xml:space="preserve">  </w:t>
      </w:r>
      <w:r>
        <w:rPr>
          <w:rFonts w:ascii="仿宋" w:hAnsi="仿宋" w:eastAsia="仿宋"/>
          <w:b/>
          <w:sz w:val="24"/>
        </w:rPr>
        <w:drawing>
          <wp:inline distT="0" distB="0" distL="0" distR="0">
            <wp:extent cx="2313940" cy="1534795"/>
            <wp:effectExtent l="0" t="0" r="0" b="8255"/>
            <wp:docPr id="43" name="图片 43" descr="培训教学-财政厅2017年度乡镇财政干部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培训教学-财政厅2017年度乡镇财政干部培训"/>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313940" cy="1534795"/>
                    </a:xfrm>
                    <a:prstGeom prst="rect">
                      <a:avLst/>
                    </a:prstGeom>
                    <a:noFill/>
                    <a:ln>
                      <a:noFill/>
                    </a:ln>
                    <a:effectLst/>
                  </pic:spPr>
                </pic:pic>
              </a:graphicData>
            </a:graphic>
          </wp:inline>
        </w:drawing>
      </w:r>
    </w:p>
    <w:p>
      <w:pPr>
        <w:spacing w:line="360" w:lineRule="auto"/>
        <w:jc w:val="center"/>
        <w:rPr>
          <w:rFonts w:ascii="仿宋" w:hAnsi="仿宋" w:eastAsia="仿宋" w:cs="黑体"/>
          <w:szCs w:val="21"/>
        </w:rPr>
      </w:pPr>
      <w:r>
        <w:rPr>
          <w:rFonts w:hint="eastAsia" w:ascii="仿宋" w:hAnsi="仿宋" w:eastAsia="仿宋"/>
          <w:b/>
          <w:szCs w:val="21"/>
        </w:rPr>
        <w:t xml:space="preserve">图7.2  培训班开班仪式                            </w:t>
      </w:r>
    </w:p>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5" w:name="_Toc533491228"/>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（三）承担社会化考试阅卷，提升社会影响</w:t>
      </w:r>
      <w:bookmarkEnd w:id="105"/>
    </w:p>
    <w:p>
      <w:pPr>
        <w:spacing w:line="360" w:lineRule="auto"/>
        <w:ind w:firstLine="480" w:firstLineChars="200"/>
        <w:rPr>
          <w:rFonts w:ascii="仿宋" w:hAnsi="仿宋" w:eastAsia="仿宋" w:cs="宋体"/>
          <w:sz w:val="24"/>
        </w:rPr>
      </w:pPr>
      <w:r>
        <w:rPr>
          <w:rFonts w:hint="eastAsia" w:ascii="仿宋" w:hAnsi="仿宋" w:eastAsia="仿宋" w:cs="宋体"/>
          <w:sz w:val="24"/>
        </w:rPr>
        <w:t>随着学院的不断发展，学生职业能力和综合素质日益增强，学院的社会服务化工作逐步深入。作为社会化服务工作之一的社会化考试和阅卷，是学院进一步提升社会影响力和促进社会服务水平的重要渠道。2018年教务处在学院的领导下主要承办了全院单招考试、四川省财经商贸类对口高职学生的技能考试、全院大学英语三、四、六级、四川省工会公文写作大赛、四川省会计中级职称考试、四川省地税纳税服务业务考试等多个单位13,887人次的考试安排工作和四川、青海、西藏2018年度96,023份的会计中高级阅卷工作，</w:t>
      </w:r>
      <w:r>
        <w:rPr>
          <w:rFonts w:hint="eastAsia" w:ascii="仿宋" w:hAnsi="仿宋" w:eastAsia="仿宋" w:cs="宋体"/>
          <w:kern w:val="0"/>
          <w:sz w:val="24"/>
        </w:rPr>
        <w:t xml:space="preserve"> 具体情况如下表所示</w:t>
      </w:r>
      <w:r>
        <w:rPr>
          <w:rFonts w:hint="eastAsia" w:ascii="仿宋" w:hAnsi="仿宋" w:eastAsia="仿宋" w:cs="宋体"/>
          <w:sz w:val="24"/>
        </w:rPr>
        <w:t>：</w:t>
      </w:r>
    </w:p>
    <w:p>
      <w:pPr>
        <w:spacing w:line="360" w:lineRule="auto"/>
        <w:jc w:val="center"/>
        <w:rPr>
          <w:rFonts w:ascii="仿宋" w:hAnsi="仿宋" w:eastAsia="仿宋" w:cs="宋体"/>
          <w:b/>
          <w:szCs w:val="21"/>
        </w:rPr>
      </w:pPr>
      <w:r>
        <w:rPr>
          <w:rFonts w:hint="eastAsia" w:ascii="仿宋" w:hAnsi="仿宋" w:eastAsia="仿宋" w:cs="宋体"/>
          <w:b/>
          <w:szCs w:val="21"/>
        </w:rPr>
        <w:t>表7.2   2018年度学院承办社会化考试阅卷数据统计表</w:t>
      </w:r>
    </w:p>
    <w:tbl>
      <w:tblPr>
        <w:tblStyle w:val="19"/>
        <w:tblW w:w="8838" w:type="dxa"/>
        <w:jc w:val="center"/>
        <w:tblInd w:w="0" w:type="dxa"/>
        <w:tblLayout w:type="fixed"/>
        <w:tblCellMar>
          <w:top w:w="0" w:type="dxa"/>
          <w:left w:w="108" w:type="dxa"/>
          <w:bottom w:w="0" w:type="dxa"/>
          <w:right w:w="108" w:type="dxa"/>
        </w:tblCellMar>
      </w:tblPr>
      <w:tblGrid>
        <w:gridCol w:w="2091"/>
        <w:gridCol w:w="2260"/>
        <w:gridCol w:w="1360"/>
        <w:gridCol w:w="660"/>
        <w:gridCol w:w="660"/>
        <w:gridCol w:w="800"/>
        <w:gridCol w:w="1007"/>
      </w:tblGrid>
      <w:tr>
        <w:tblPrEx>
          <w:tblLayout w:type="fixed"/>
          <w:tblCellMar>
            <w:top w:w="0" w:type="dxa"/>
            <w:left w:w="108" w:type="dxa"/>
            <w:bottom w:w="0" w:type="dxa"/>
            <w:right w:w="108" w:type="dxa"/>
          </w:tblCellMar>
        </w:tblPrEx>
        <w:trPr>
          <w:trHeight w:val="615" w:hRule="atLeast"/>
          <w:jc w:val="center"/>
        </w:trPr>
        <w:tc>
          <w:tcPr>
            <w:tcW w:w="20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时间</w:t>
            </w:r>
          </w:p>
        </w:tc>
        <w:tc>
          <w:tcPr>
            <w:tcW w:w="22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内容</w:t>
            </w:r>
          </w:p>
        </w:tc>
        <w:tc>
          <w:tcPr>
            <w:tcW w:w="13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考试人数（阅卷份数）</w:t>
            </w:r>
          </w:p>
        </w:tc>
        <w:tc>
          <w:tcPr>
            <w:tcW w:w="6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上午考室</w:t>
            </w:r>
          </w:p>
        </w:tc>
        <w:tc>
          <w:tcPr>
            <w:tcW w:w="6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下午考室</w:t>
            </w:r>
          </w:p>
        </w:tc>
        <w:tc>
          <w:tcPr>
            <w:tcW w:w="80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场次</w:t>
            </w:r>
          </w:p>
        </w:tc>
        <w:tc>
          <w:tcPr>
            <w:tcW w:w="100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备注</w:t>
            </w:r>
          </w:p>
        </w:tc>
      </w:tr>
      <w:tr>
        <w:tblPrEx>
          <w:tblLayout w:type="fixed"/>
          <w:tblCellMar>
            <w:top w:w="0" w:type="dxa"/>
            <w:left w:w="108" w:type="dxa"/>
            <w:bottom w:w="0" w:type="dxa"/>
            <w:right w:w="108" w:type="dxa"/>
          </w:tblCellMar>
        </w:tblPrEx>
        <w:trPr>
          <w:trHeight w:val="405" w:hRule="atLeast"/>
          <w:jc w:val="center"/>
        </w:trPr>
        <w:tc>
          <w:tcPr>
            <w:tcW w:w="2091"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2018年3月31日单招考试</w:t>
            </w:r>
          </w:p>
        </w:tc>
        <w:tc>
          <w:tcPr>
            <w:tcW w:w="22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单招（普通高中）</w:t>
            </w:r>
          </w:p>
        </w:tc>
        <w:tc>
          <w:tcPr>
            <w:tcW w:w="13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1,089</w:t>
            </w:r>
          </w:p>
        </w:tc>
        <w:tc>
          <w:tcPr>
            <w:tcW w:w="6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80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007" w:type="dxa"/>
            <w:tcBorders>
              <w:top w:val="nil"/>
              <w:left w:val="nil"/>
              <w:bottom w:val="nil"/>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405" w:hRule="atLeast"/>
          <w:jc w:val="center"/>
        </w:trPr>
        <w:tc>
          <w:tcPr>
            <w:tcW w:w="2091" w:type="dxa"/>
            <w:vMerge w:val="continue"/>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p>
        </w:tc>
        <w:tc>
          <w:tcPr>
            <w:tcW w:w="22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单招（中职）</w:t>
            </w:r>
          </w:p>
        </w:tc>
        <w:tc>
          <w:tcPr>
            <w:tcW w:w="13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803</w:t>
            </w:r>
          </w:p>
        </w:tc>
        <w:tc>
          <w:tcPr>
            <w:tcW w:w="6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80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007" w:type="dxa"/>
            <w:tcBorders>
              <w:top w:val="single" w:color="auto" w:sz="4" w:space="0"/>
              <w:left w:val="nil"/>
              <w:bottom w:val="nil"/>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405" w:hRule="atLeast"/>
          <w:jc w:val="center"/>
        </w:trPr>
        <w:tc>
          <w:tcPr>
            <w:tcW w:w="2091" w:type="dxa"/>
            <w:vMerge w:val="continue"/>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p>
        </w:tc>
        <w:tc>
          <w:tcPr>
            <w:tcW w:w="22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9+3（藏）</w:t>
            </w:r>
          </w:p>
        </w:tc>
        <w:tc>
          <w:tcPr>
            <w:tcW w:w="13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132</w:t>
            </w:r>
          </w:p>
        </w:tc>
        <w:tc>
          <w:tcPr>
            <w:tcW w:w="6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80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007" w:type="dxa"/>
            <w:tcBorders>
              <w:top w:val="single" w:color="auto" w:sz="4" w:space="0"/>
              <w:left w:val="nil"/>
              <w:bottom w:val="nil"/>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405" w:hRule="atLeast"/>
          <w:jc w:val="center"/>
        </w:trPr>
        <w:tc>
          <w:tcPr>
            <w:tcW w:w="2091" w:type="dxa"/>
            <w:vMerge w:val="continue"/>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p>
        </w:tc>
        <w:tc>
          <w:tcPr>
            <w:tcW w:w="22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9+3（彝）</w:t>
            </w:r>
          </w:p>
        </w:tc>
        <w:tc>
          <w:tcPr>
            <w:tcW w:w="1360" w:type="dxa"/>
            <w:tcBorders>
              <w:top w:val="nil"/>
              <w:left w:val="nil"/>
              <w:bottom w:val="single" w:color="auto" w:sz="8" w:space="0"/>
              <w:right w:val="single" w:color="auto" w:sz="8"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124</w:t>
            </w:r>
          </w:p>
        </w:tc>
        <w:tc>
          <w:tcPr>
            <w:tcW w:w="660"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80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007" w:type="dxa"/>
            <w:tcBorders>
              <w:top w:val="single" w:color="auto" w:sz="4" w:space="0"/>
              <w:left w:val="nil"/>
              <w:bottom w:val="nil"/>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630" w:hRule="atLeast"/>
          <w:jc w:val="center"/>
        </w:trPr>
        <w:tc>
          <w:tcPr>
            <w:tcW w:w="209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2018年4月21日</w:t>
            </w:r>
          </w:p>
        </w:tc>
        <w:tc>
          <w:tcPr>
            <w:tcW w:w="22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四川省财经商贸类对口高职学生的技能考试</w:t>
            </w:r>
          </w:p>
        </w:tc>
        <w:tc>
          <w:tcPr>
            <w:tcW w:w="136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2,457</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6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80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007" w:type="dxa"/>
            <w:tcBorders>
              <w:top w:val="single" w:color="auto" w:sz="4" w:space="0"/>
              <w:left w:val="nil"/>
              <w:bottom w:val="nil"/>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37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2018年6月2日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大学英语三级</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614</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21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本院学生</w:t>
            </w:r>
          </w:p>
        </w:tc>
      </w:tr>
      <w:tr>
        <w:tblPrEx>
          <w:tblLayout w:type="fixed"/>
          <w:tblCellMar>
            <w:top w:w="0" w:type="dxa"/>
            <w:left w:w="108" w:type="dxa"/>
            <w:bottom w:w="0" w:type="dxa"/>
            <w:right w:w="108" w:type="dxa"/>
          </w:tblCellMar>
        </w:tblPrEx>
        <w:trPr>
          <w:trHeight w:val="34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2018年6月6日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大学英语四级</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1,525</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18"/>
                <w:szCs w:val="18"/>
              </w:rPr>
            </w:pPr>
          </w:p>
        </w:tc>
      </w:tr>
      <w:tr>
        <w:tblPrEx>
          <w:tblLayout w:type="fixed"/>
          <w:tblCellMar>
            <w:top w:w="0" w:type="dxa"/>
            <w:left w:w="108" w:type="dxa"/>
            <w:bottom w:w="0" w:type="dxa"/>
            <w:right w:w="108" w:type="dxa"/>
          </w:tblCellMar>
        </w:tblPrEx>
        <w:trPr>
          <w:trHeight w:val="450"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2018年6月16日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大学英语六级</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271</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10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18"/>
                <w:szCs w:val="18"/>
              </w:rPr>
            </w:pPr>
          </w:p>
        </w:tc>
      </w:tr>
      <w:tr>
        <w:tblPrEx>
          <w:tblLayout w:type="fixed"/>
          <w:tblCellMar>
            <w:top w:w="0" w:type="dxa"/>
            <w:left w:w="108" w:type="dxa"/>
            <w:bottom w:w="0" w:type="dxa"/>
            <w:right w:w="108" w:type="dxa"/>
          </w:tblCellMar>
        </w:tblPrEx>
        <w:trPr>
          <w:trHeight w:val="28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2018年10月13、14日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省工会公文写作大赛</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1,235</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23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007"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28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2018年9月8日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会计中级职称考试</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3,135</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007"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28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2018年9月9日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会计高级职称考试</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1,257</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r>
        <w:tblPrEx>
          <w:tblLayout w:type="fixed"/>
          <w:tblCellMar>
            <w:top w:w="0" w:type="dxa"/>
            <w:left w:w="108" w:type="dxa"/>
            <w:bottom w:w="0" w:type="dxa"/>
            <w:right w:w="108" w:type="dxa"/>
          </w:tblCellMar>
        </w:tblPrEx>
        <w:trPr>
          <w:trHeight w:val="28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2018年12月15日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大学英语四级</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1,106</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本院学生</w:t>
            </w:r>
          </w:p>
        </w:tc>
      </w:tr>
      <w:tr>
        <w:tblPrEx>
          <w:tblLayout w:type="fixed"/>
          <w:tblCellMar>
            <w:top w:w="0" w:type="dxa"/>
            <w:left w:w="108" w:type="dxa"/>
            <w:bottom w:w="0" w:type="dxa"/>
            <w:right w:w="108" w:type="dxa"/>
          </w:tblCellMar>
        </w:tblPrEx>
        <w:trPr>
          <w:trHeight w:val="285" w:hRule="atLeast"/>
          <w:jc w:val="center"/>
        </w:trPr>
        <w:tc>
          <w:tcPr>
            <w:tcW w:w="2091" w:type="dxa"/>
            <w:tcBorders>
              <w:top w:val="nil"/>
              <w:left w:val="single" w:color="auto" w:sz="4" w:space="0"/>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2018年12月16日</w:t>
            </w:r>
          </w:p>
        </w:tc>
        <w:tc>
          <w:tcPr>
            <w:tcW w:w="22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大学英语六级</w:t>
            </w:r>
          </w:p>
        </w:tc>
        <w:tc>
          <w:tcPr>
            <w:tcW w:w="13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139</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5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00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18"/>
                <w:szCs w:val="18"/>
              </w:rPr>
            </w:pPr>
          </w:p>
        </w:tc>
      </w:tr>
      <w:tr>
        <w:tblPrEx>
          <w:tblLayout w:type="fixed"/>
          <w:tblCellMar>
            <w:top w:w="0" w:type="dxa"/>
            <w:left w:w="108" w:type="dxa"/>
            <w:bottom w:w="0" w:type="dxa"/>
            <w:right w:w="108" w:type="dxa"/>
          </w:tblCellMar>
        </w:tblPrEx>
        <w:trPr>
          <w:trHeight w:val="570" w:hRule="atLeast"/>
          <w:jc w:val="center"/>
        </w:trPr>
        <w:tc>
          <w:tcPr>
            <w:tcW w:w="2091"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2018年9月20-29日</w:t>
            </w:r>
          </w:p>
        </w:tc>
        <w:tc>
          <w:tcPr>
            <w:tcW w:w="22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四川、青海、西藏2018年度会计考试阅卷工作</w:t>
            </w:r>
          </w:p>
        </w:tc>
        <w:tc>
          <w:tcPr>
            <w:tcW w:w="136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96,023份</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66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00"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1007" w:type="dxa"/>
            <w:tcBorders>
              <w:top w:val="nil"/>
              <w:left w:val="nil"/>
              <w:bottom w:val="single" w:color="auto" w:sz="4" w:space="0"/>
              <w:right w:val="single" w:color="auto" w:sz="4" w:space="0"/>
            </w:tcBorders>
            <w:vAlign w:val="bottom"/>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　</w:t>
            </w:r>
          </w:p>
        </w:tc>
      </w:tr>
    </w:tbl>
    <w:p>
      <w:pPr>
        <w:pStyle w:val="3"/>
        <w:spacing w:before="0" w:after="0" w:line="360" w:lineRule="auto"/>
        <w:rPr>
          <w:rFonts w:ascii="仿宋" w:hAnsi="仿宋" w:eastAsia="仿宋"/>
          <w:color w:val="0D0D0D" w:themeColor="text1" w:themeTint="F2"/>
          <w:sz w:val="30"/>
          <w:szCs w:val="30"/>
          <w14:textFill>
            <w14:solidFill>
              <w14:schemeClr w14:val="tx1">
                <w14:lumMod w14:val="95000"/>
                <w14:lumOff w14:val="5000"/>
              </w14:schemeClr>
            </w14:solidFill>
          </w14:textFill>
        </w:rPr>
      </w:pPr>
      <w:bookmarkStart w:id="106" w:name="_Toc533491229"/>
      <w:r>
        <w:rPr>
          <w:rFonts w:hint="eastAsia" w:ascii="仿宋" w:hAnsi="仿宋" w:eastAsia="仿宋"/>
          <w:color w:val="0D0D0D" w:themeColor="text1" w:themeTint="F2"/>
          <w:sz w:val="30"/>
          <w:szCs w:val="30"/>
          <w14:textFill>
            <w14:solidFill>
              <w14:schemeClr w14:val="tx1">
                <w14:lumMod w14:val="95000"/>
                <w14:lumOff w14:val="5000"/>
              </w14:schemeClr>
            </w14:solidFill>
          </w14:textFill>
        </w:rPr>
        <w:t>（四）承办国赛省赛，彰显专业优势</w:t>
      </w:r>
      <w:bookmarkEnd w:id="106"/>
    </w:p>
    <w:p>
      <w:pPr>
        <w:spacing w:line="360" w:lineRule="auto"/>
        <w:ind w:firstLine="484" w:firstLineChars="202"/>
        <w:rPr>
          <w:rFonts w:ascii="仿宋" w:hAnsi="仿宋" w:eastAsia="仿宋" w:cs="宋体"/>
          <w:sz w:val="24"/>
        </w:rPr>
      </w:pPr>
      <w:r>
        <w:rPr>
          <w:rFonts w:hint="eastAsia" w:ascii="仿宋" w:hAnsi="仿宋" w:eastAsia="仿宋" w:cs="宋体"/>
          <w:sz w:val="24"/>
        </w:rPr>
        <w:t>学院充分发挥专业优势、办学条件优势和地理区位优势，通过组织和承办区域和全国技能大赛，服务四川和全国职业院校。</w:t>
      </w:r>
    </w:p>
    <w:p>
      <w:pPr>
        <w:spacing w:line="360" w:lineRule="auto"/>
        <w:ind w:firstLine="484" w:firstLineChars="202"/>
        <w:rPr>
          <w:rFonts w:ascii="仿宋" w:hAnsi="仿宋" w:eastAsia="仿宋" w:cs="宋体"/>
          <w:sz w:val="24"/>
        </w:rPr>
      </w:pPr>
      <w:r>
        <w:rPr>
          <w:rFonts w:hint="eastAsia" w:ascii="仿宋" w:hAnsi="仿宋" w:eastAsia="仿宋" w:cs="宋体"/>
          <w:sz w:val="24"/>
        </w:rPr>
        <w:t>2018年4月，我院成功承办了由四川省教育厅主办的四川省高职院校大学生会计业务手工与信息化业务处理技能大赛、沙盘模拟企业经营对抗赛、财税技能大赛和银行业务综合技能大赛，赛前组织专家审定竞赛方案和规程，组织召开赛事说明会和赛事培训，比赛期间认真做好各项赛事服务工作，积极为全省各高职院校搭建沟通交流的平台。</w:t>
      </w:r>
    </w:p>
    <w:p>
      <w:pPr>
        <w:spacing w:line="360" w:lineRule="auto"/>
        <w:ind w:firstLine="484" w:firstLineChars="202"/>
        <w:rPr>
          <w:rFonts w:ascii="仿宋" w:hAnsi="仿宋" w:eastAsia="仿宋" w:cs="宋体"/>
          <w:sz w:val="24"/>
        </w:rPr>
      </w:pPr>
      <w:r>
        <w:rPr>
          <w:rFonts w:hint="eastAsia" w:ascii="仿宋" w:hAnsi="仿宋" w:eastAsia="仿宋" w:cs="宋体"/>
          <w:sz w:val="24"/>
        </w:rPr>
        <w:t>6月2-3日，我院承办了2018年全国职业院校技能大赛高职会计技能比赛，来自全国29个省、自治区、直辖市和新疆生产建设兵团共63支代表队的252名选手参赛。教育部、财政部、四川省教育厅、四川省财政厅等相关部门领导、全国高职院校专业带头人、行业部门负责人、企业界代表和新闻媒体约300余名嘉宾和全国高职院校师生约4000余人参与了赛项的各项活动。比赛圆满成功举办，得到了参赛院校的高度肯定，教育部大赛办授予我院“突出贡献奖”，我院杨梅老师被大赛办授予优秀工作者荣誉称号。</w:t>
      </w:r>
    </w:p>
    <w:p>
      <w:pPr>
        <w:spacing w:line="360" w:lineRule="auto"/>
        <w:ind w:firstLine="484" w:firstLineChars="202"/>
        <w:rPr>
          <w:rFonts w:ascii="仿宋" w:hAnsi="仿宋" w:eastAsia="仿宋" w:cs="宋体"/>
          <w:color w:val="000000"/>
          <w:kern w:val="0"/>
          <w:sz w:val="24"/>
        </w:rPr>
      </w:pPr>
      <w:r>
        <w:rPr>
          <w:rFonts w:hint="eastAsia" w:ascii="仿宋" w:hAnsi="仿宋" w:eastAsia="仿宋" w:cs="宋体"/>
          <w:sz w:val="24"/>
        </w:rPr>
        <w:t>为了促进中高职衔接，发挥高职院校的示范引领作用，11月3日，我院组织了四川省中职会计技能大赛、Excel应用技能大赛，来自全省22所中职学校的210名选手参加了比赛。</w:t>
      </w:r>
      <w:r>
        <w:rPr>
          <w:rFonts w:hint="eastAsia" w:ascii="仿宋" w:hAnsi="仿宋" w:eastAsia="仿宋" w:cs="宋体"/>
          <w:color w:val="000000"/>
          <w:kern w:val="0"/>
          <w:sz w:val="24"/>
        </w:rPr>
        <w:t>通过竞赛，检验了我省中职学校学生会计岗位通用技能和职业能力，引领中职学校会计教学改革，推动会计人才培养转型升级，为中职学生继续学习或创业就业奠定坚实基础。</w:t>
      </w:r>
    </w:p>
    <w:p>
      <w:pPr>
        <w:spacing w:line="360" w:lineRule="auto"/>
        <w:ind w:firstLine="484" w:firstLineChars="202"/>
        <w:rPr>
          <w:rFonts w:ascii="仿宋" w:hAnsi="仿宋" w:eastAsia="仿宋" w:cs="宋体"/>
          <w:sz w:val="24"/>
        </w:rPr>
      </w:pPr>
      <w:r>
        <w:rPr>
          <w:rFonts w:hint="eastAsia" w:ascii="仿宋" w:hAnsi="仿宋" w:eastAsia="仿宋" w:cs="宋体"/>
          <w:sz w:val="24"/>
        </w:rPr>
        <w:t>为了贯彻落实党的十八届三中全会提出的“建立权责发生制政府综合财务报告制度”，加强政府会计准则制度的学习宣传力度，促进我省行政事业单位相关领导和财务会计人员认真学习、准确理解新制度，确保新制度的顺利实施，</w:t>
      </w:r>
      <w:r>
        <w:rPr>
          <w:rFonts w:ascii="仿宋" w:hAnsi="仿宋" w:eastAsia="仿宋" w:cs="宋体"/>
          <w:sz w:val="24"/>
        </w:rPr>
        <w:t>12</w:t>
      </w:r>
      <w:r>
        <w:rPr>
          <w:rFonts w:hint="eastAsia" w:ascii="仿宋" w:hAnsi="仿宋" w:eastAsia="仿宋" w:cs="宋体"/>
          <w:sz w:val="24"/>
        </w:rPr>
        <w:t>月</w:t>
      </w:r>
      <w:r>
        <w:rPr>
          <w:rFonts w:ascii="仿宋" w:hAnsi="仿宋" w:eastAsia="仿宋" w:cs="宋体"/>
          <w:sz w:val="24"/>
        </w:rPr>
        <w:t>7</w:t>
      </w:r>
      <w:r>
        <w:rPr>
          <w:rFonts w:hint="eastAsia" w:ascii="仿宋" w:hAnsi="仿宋" w:eastAsia="仿宋" w:cs="宋体"/>
          <w:sz w:val="24"/>
        </w:rPr>
        <w:t>日，由四川省财政厅、四川省会计学会主办，我院承办了</w:t>
      </w:r>
      <w:r>
        <w:rPr>
          <w:rFonts w:ascii="仿宋" w:hAnsi="仿宋" w:eastAsia="仿宋" w:cs="宋体"/>
          <w:sz w:val="24"/>
        </w:rPr>
        <w:t>2018</w:t>
      </w:r>
      <w:r>
        <w:rPr>
          <w:rFonts w:hint="eastAsia" w:ascii="仿宋" w:hAnsi="仿宋" w:eastAsia="仿宋" w:cs="宋体"/>
          <w:sz w:val="24"/>
        </w:rPr>
        <w:t>年的四川省会计准则制度知识竞赛，竞赛分为网络竞赛和现场初赛、决赛几个阶段。竞赛各阶段、各环节组织安排得当，取得圆满成功。</w:t>
      </w:r>
    </w:p>
    <w:p>
      <w:pPr>
        <w:spacing w:line="360" w:lineRule="auto"/>
        <w:jc w:val="center"/>
      </w:pPr>
      <w:r>
        <w:rPr>
          <w:rFonts w:hint="eastAsia"/>
        </w:rPr>
        <w:t xml:space="preserve">  </w:t>
      </w:r>
      <w:r>
        <w:drawing>
          <wp:inline distT="0" distB="0" distL="114300" distR="114300">
            <wp:extent cx="2244725" cy="1506855"/>
            <wp:effectExtent l="0" t="0" r="3175" b="1714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8"/>
                    <a:stretch>
                      <a:fillRect/>
                    </a:stretch>
                  </pic:blipFill>
                  <pic:spPr>
                    <a:xfrm>
                      <a:off x="0" y="0"/>
                      <a:ext cx="2244725" cy="1506855"/>
                    </a:xfrm>
                    <a:prstGeom prst="rect">
                      <a:avLst/>
                    </a:prstGeom>
                    <a:noFill/>
                    <a:ln w="9525">
                      <a:noFill/>
                    </a:ln>
                  </pic:spPr>
                </pic:pic>
              </a:graphicData>
            </a:graphic>
          </wp:inline>
        </w:drawing>
      </w:r>
      <w:r>
        <w:rPr>
          <w:rFonts w:hint="eastAsia"/>
        </w:rPr>
        <w:t xml:space="preserve">  </w:t>
      </w:r>
      <w:r>
        <w:drawing>
          <wp:inline distT="0" distB="0" distL="114300" distR="114300">
            <wp:extent cx="2131695" cy="1506220"/>
            <wp:effectExtent l="0" t="0" r="1905" b="177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9"/>
                    <a:stretch>
                      <a:fillRect/>
                    </a:stretch>
                  </pic:blipFill>
                  <pic:spPr>
                    <a:xfrm>
                      <a:off x="0" y="0"/>
                      <a:ext cx="2131695" cy="1506220"/>
                    </a:xfrm>
                    <a:prstGeom prst="rect">
                      <a:avLst/>
                    </a:prstGeom>
                    <a:noFill/>
                    <a:ln w="9525">
                      <a:noFill/>
                    </a:ln>
                  </pic:spPr>
                </pic:pic>
              </a:graphicData>
            </a:graphic>
          </wp:inline>
        </w:drawing>
      </w:r>
    </w:p>
    <w:p>
      <w:pPr>
        <w:pStyle w:val="14"/>
        <w:spacing w:before="0" w:beforeAutospacing="0" w:after="120" w:afterAutospacing="0" w:line="375" w:lineRule="atLeast"/>
        <w:ind w:firstLine="420"/>
      </w:pPr>
      <w:r>
        <w:rPr>
          <w:rFonts w:hint="eastAsia"/>
          <w:color w:val="333333"/>
          <w:sz w:val="21"/>
          <w:szCs w:val="21"/>
        </w:rPr>
        <w:t xml:space="preserve">   </w:t>
      </w:r>
      <w:r>
        <w:rPr>
          <w:color w:val="333333"/>
          <w:sz w:val="21"/>
          <w:szCs w:val="21"/>
        </w:rPr>
        <w:drawing>
          <wp:inline distT="0" distB="0" distL="114300" distR="114300">
            <wp:extent cx="2240280" cy="1504950"/>
            <wp:effectExtent l="0" t="0" r="7620" b="0"/>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50"/>
                    <a:stretch>
                      <a:fillRect/>
                    </a:stretch>
                  </pic:blipFill>
                  <pic:spPr>
                    <a:xfrm>
                      <a:off x="0" y="0"/>
                      <a:ext cx="2240280" cy="1504950"/>
                    </a:xfrm>
                    <a:prstGeom prst="rect">
                      <a:avLst/>
                    </a:prstGeom>
                    <a:noFill/>
                    <a:ln w="9525">
                      <a:noFill/>
                    </a:ln>
                  </pic:spPr>
                </pic:pic>
              </a:graphicData>
            </a:graphic>
          </wp:inline>
        </w:drawing>
      </w:r>
      <w:r>
        <w:rPr>
          <w:rFonts w:hint="eastAsia"/>
          <w:color w:val="333333"/>
          <w:sz w:val="21"/>
          <w:szCs w:val="21"/>
        </w:rPr>
        <w:t xml:space="preserve">  </w:t>
      </w:r>
      <w:r>
        <w:drawing>
          <wp:inline distT="0" distB="0" distL="114300" distR="114300">
            <wp:extent cx="2134870" cy="1497965"/>
            <wp:effectExtent l="0" t="0" r="17780" b="698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51"/>
                    <a:stretch>
                      <a:fillRect/>
                    </a:stretch>
                  </pic:blipFill>
                  <pic:spPr>
                    <a:xfrm>
                      <a:off x="0" y="0"/>
                      <a:ext cx="2134870" cy="1497965"/>
                    </a:xfrm>
                    <a:prstGeom prst="rect">
                      <a:avLst/>
                    </a:prstGeom>
                    <a:noFill/>
                    <a:ln w="9525">
                      <a:noFill/>
                    </a:ln>
                  </pic:spPr>
                </pic:pic>
              </a:graphicData>
            </a:graphic>
          </wp:inline>
        </w:drawing>
      </w:r>
    </w:p>
    <w:p>
      <w:pPr>
        <w:pStyle w:val="14"/>
        <w:spacing w:before="0" w:beforeAutospacing="0" w:after="120" w:afterAutospacing="0" w:line="375" w:lineRule="atLeast"/>
        <w:ind w:firstLine="420"/>
        <w:jc w:val="center"/>
        <w:rPr>
          <w:rFonts w:eastAsia="仿宋"/>
          <w:sz w:val="21"/>
          <w:szCs w:val="21"/>
        </w:rPr>
      </w:pPr>
      <w:r>
        <w:rPr>
          <w:rFonts w:hint="eastAsia" w:ascii="仿宋" w:hAnsi="仿宋" w:eastAsia="仿宋"/>
          <w:b/>
          <w:sz w:val="21"/>
          <w:szCs w:val="21"/>
        </w:rPr>
        <w:t>图7.3  承办赛项图片</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107" w:name="_Toc533491230"/>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八、面临挑战</w:t>
      </w:r>
      <w:bookmarkEnd w:id="107"/>
    </w:p>
    <w:p>
      <w:pPr>
        <w:keepNext/>
        <w:keepLines/>
        <w:spacing w:line="360" w:lineRule="auto"/>
        <w:outlineLvl w:val="1"/>
        <w:rPr>
          <w:rFonts w:ascii="仿宋" w:hAnsi="仿宋" w:eastAsia="仿宋" w:cstheme="majorBidi"/>
          <w:b/>
          <w:bCs/>
          <w:sz w:val="30"/>
          <w:szCs w:val="32"/>
        </w:rPr>
      </w:pPr>
      <w:bookmarkStart w:id="108" w:name="_Toc533491231"/>
      <w:bookmarkStart w:id="109" w:name="_Toc532996615"/>
      <w:r>
        <w:rPr>
          <w:rFonts w:hint="eastAsia" w:ascii="仿宋" w:hAnsi="仿宋" w:eastAsia="仿宋" w:cstheme="majorBidi"/>
          <w:b/>
          <w:bCs/>
          <w:sz w:val="30"/>
          <w:szCs w:val="32"/>
        </w:rPr>
        <w:t>（一）“互联网+”时代的教育教学改革</w:t>
      </w:r>
      <w:bookmarkEnd w:id="108"/>
      <w:bookmarkEnd w:id="109"/>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随着信息技术的快速发展，互联网与各行各业之间的融合愈发深入，并以一种独特的方式改变着人们的生活、思维以及处理事务的方式。在基于互联网的信息化教学环境中,借助丰富的网络资源和平台,使用移动学习设备或可穿戴设备,学生可实现自主和个性化学习。教师由知识传授者变成活动的指导者和设计者,学习者由知识的被动接受者变成知识意义的主动建构者。职业教育作为社会职业人才的培养方，其培养成果一方面决定着学生能否在走出校园后更好地适应社会并更好地生活，同时，也在很大程度上影响着社会对人才的需求能否得到充分的满足。因此，职业教育必须不断进行改革，借助互联网及相关信息技术的支持,打破原来结构化和封闭的教育体系,建立灵活而开放的学习生态,从而有效促进教育本质的实现。我院信息化建设存在基础薄弱，人力不足、物力资源有限，师生信息化素养水平参差不齐等问题，学院将进一步加大信息化建设力度，提高师生信息化素养，强化教育教学课程资源建设和应用，打造财经类高职专业“金课”，积极探索翻转课堂等线上线下混合式教学模式，提升课堂教学效率，促进教育教学质量的进步。</w:t>
      </w:r>
    </w:p>
    <w:p>
      <w:pPr>
        <w:keepNext/>
        <w:keepLines/>
        <w:spacing w:line="360" w:lineRule="auto"/>
        <w:outlineLvl w:val="1"/>
        <w:rPr>
          <w:rFonts w:ascii="仿宋" w:hAnsi="仿宋" w:eastAsia="仿宋" w:cstheme="majorBidi"/>
          <w:b/>
          <w:bCs/>
          <w:sz w:val="30"/>
          <w:szCs w:val="32"/>
        </w:rPr>
      </w:pPr>
      <w:bookmarkStart w:id="110" w:name="_Toc533491232"/>
      <w:bookmarkStart w:id="111" w:name="_Toc532996616"/>
      <w:r>
        <w:rPr>
          <w:rFonts w:hint="eastAsia" w:ascii="仿宋" w:hAnsi="仿宋" w:eastAsia="仿宋" w:cstheme="majorBidi"/>
          <w:b/>
          <w:bCs/>
          <w:sz w:val="30"/>
          <w:szCs w:val="32"/>
        </w:rPr>
        <w:t>（二）供给侧和需求侧结构要素全方位融合发展</w:t>
      </w:r>
      <w:bookmarkEnd w:id="110"/>
      <w:bookmarkEnd w:id="111"/>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学校办学进入了深化产教融合、校企合作的新时代，学院在办学定位、内部治理、人才培养模式等方面需要调整，才能促进人才培养供给侧和产业需求侧结构要素全方位融合发展。今后，学院将加强以下几方面工作，一是促进人才供给与企业需求相适应，主动调整专业布局，重点培植特色专业，并从实际出发研究老专业的发展方向，明确新内涵、调整新定位、发挥新作用。二是为企业参与职教开拓空间，主动调整办学机制，支持引导企业多种方式参与学校专业规划、教材开发、教学设计、课程设置、实习实训，促进企业需求融入人才培养环节。三是坚持立德树人总要求，将工匠精神的培养融入学生成长的全过程，深入推进产业文化进教育、企业文化进校园、职业文化进课堂，不断完善学生职业素养评价机制，发挥校企协同育人作用，主动改进人才培养模式，提高人才培养质量。</w:t>
      </w:r>
    </w:p>
    <w:p>
      <w:pPr>
        <w:keepNext/>
        <w:keepLines/>
        <w:spacing w:line="360" w:lineRule="auto"/>
        <w:outlineLvl w:val="1"/>
        <w:rPr>
          <w:rFonts w:ascii="仿宋" w:hAnsi="仿宋" w:eastAsia="仿宋" w:cstheme="majorBidi"/>
          <w:b/>
          <w:bCs/>
          <w:sz w:val="30"/>
          <w:szCs w:val="32"/>
        </w:rPr>
      </w:pPr>
      <w:bookmarkStart w:id="112" w:name="_Toc532996617"/>
      <w:bookmarkStart w:id="113" w:name="_Toc533491233"/>
      <w:r>
        <w:rPr>
          <w:rFonts w:hint="eastAsia" w:ascii="仿宋" w:hAnsi="仿宋" w:eastAsia="仿宋" w:cstheme="majorBidi"/>
          <w:b/>
          <w:bCs/>
          <w:sz w:val="30"/>
          <w:szCs w:val="32"/>
        </w:rPr>
        <w:t>（三）以提高人才培养质量为目标的内部治理体系建设</w:t>
      </w:r>
      <w:bookmarkEnd w:id="112"/>
      <w:bookmarkEnd w:id="113"/>
    </w:p>
    <w:p>
      <w:pPr>
        <w:spacing w:line="360" w:lineRule="auto"/>
        <w:ind w:firstLine="480" w:firstLineChars="200"/>
        <w:rPr>
          <w:rFonts w:ascii="仿宋" w:hAnsi="仿宋" w:eastAsia="仿宋" w:cstheme="minorBidi"/>
          <w:sz w:val="24"/>
        </w:rPr>
      </w:pPr>
      <w:r>
        <w:rPr>
          <w:rFonts w:hint="eastAsia" w:ascii="仿宋" w:hAnsi="仿宋" w:eastAsia="仿宋" w:cstheme="minorBidi"/>
          <w:sz w:val="24"/>
        </w:rPr>
        <w:t>提高质量是教育的永恒课题，是满足经济社会和学生可持续发展需求的根本举措。提高质量一方面要建设好支撑质量的各项要素，如校企合作、师资队伍、实训条件、信息化资源、教育教学管理等；另一方面，需要完善制度、建构机制、强化激励，要建设好质量持续自我提升的动力机制，防止和克服质量提升过程中可能出现的建设倦怠。我院以教学为重点的诊断改进机制有待于进一步健全，新时代，新商科的专业标准有待于进一步完善。学院将进一步完善治理体系和提升治理能力，构建体系，建立机制，确定目标体系，形成目标链条，完善职能职责，打造标准链条，开发诊改平台，全面支撑信息化质量管理，主动提升学院诊断与改进水平。</w:t>
      </w:r>
    </w:p>
    <w:p>
      <w:pPr>
        <w:pStyle w:val="2"/>
        <w:spacing w:before="0" w:after="0" w:line="360" w:lineRule="auto"/>
        <w:rPr>
          <w:rFonts w:ascii="仿宋" w:hAnsi="仿宋" w:eastAsia="仿宋"/>
          <w:color w:val="0D0D0D" w:themeColor="text1" w:themeTint="F2"/>
          <w:sz w:val="32"/>
          <w:szCs w:val="32"/>
          <w14:textFill>
            <w14:solidFill>
              <w14:schemeClr w14:val="tx1">
                <w14:lumMod w14:val="95000"/>
                <w14:lumOff w14:val="5000"/>
              </w14:schemeClr>
            </w14:solidFill>
          </w14:textFill>
        </w:rPr>
      </w:pPr>
      <w:bookmarkStart w:id="114" w:name="_Toc533491234"/>
      <w:r>
        <w:rPr>
          <w:rFonts w:hint="eastAsia" w:ascii="仿宋" w:hAnsi="仿宋" w:eastAsia="仿宋"/>
          <w:color w:val="0D0D0D" w:themeColor="text1" w:themeTint="F2"/>
          <w:sz w:val="32"/>
          <w:szCs w:val="32"/>
          <w14:textFill>
            <w14:solidFill>
              <w14:schemeClr w14:val="tx1">
                <w14:lumMod w14:val="95000"/>
                <w14:lumOff w14:val="5000"/>
              </w14:schemeClr>
            </w14:solidFill>
          </w14:textFill>
        </w:rPr>
        <w:t>九、附表</w:t>
      </w:r>
      <w:bookmarkEnd w:id="114"/>
    </w:p>
    <w:p>
      <w:pPr>
        <w:spacing w:after="156" w:afterLines="50" w:line="560" w:lineRule="exact"/>
        <w:jc w:val="center"/>
        <w:rPr>
          <w:rFonts w:ascii="仿宋" w:hAnsi="仿宋" w:eastAsia="仿宋"/>
          <w:b/>
          <w:szCs w:val="21"/>
        </w:rPr>
      </w:pPr>
      <w:r>
        <w:rPr>
          <w:rFonts w:hint="eastAsia" w:ascii="仿宋" w:hAnsi="仿宋" w:eastAsia="仿宋"/>
          <w:b/>
          <w:szCs w:val="21"/>
        </w:rPr>
        <w:t xml:space="preserve">表1 </w:t>
      </w:r>
      <w:r>
        <w:rPr>
          <w:rFonts w:ascii="仿宋" w:hAnsi="仿宋" w:eastAsia="仿宋"/>
          <w:b/>
          <w:szCs w:val="21"/>
        </w:rPr>
        <w:t xml:space="preserve"> </w:t>
      </w:r>
      <w:r>
        <w:rPr>
          <w:rFonts w:hint="eastAsia" w:ascii="仿宋" w:hAnsi="仿宋" w:eastAsia="仿宋"/>
          <w:b/>
          <w:szCs w:val="21"/>
        </w:rPr>
        <w:t>计分卡</w:t>
      </w:r>
      <w:bookmarkStart w:id="115" w:name="_GoBack"/>
      <w:bookmarkEnd w:id="115"/>
    </w:p>
    <w:tbl>
      <w:tblPr>
        <w:tblStyle w:val="19"/>
        <w:tblW w:w="8709" w:type="dxa"/>
        <w:jc w:val="center"/>
        <w:tblInd w:w="0" w:type="dxa"/>
        <w:tblLayout w:type="fixed"/>
        <w:tblCellMar>
          <w:top w:w="0" w:type="dxa"/>
          <w:left w:w="108" w:type="dxa"/>
          <w:bottom w:w="0" w:type="dxa"/>
          <w:right w:w="108" w:type="dxa"/>
        </w:tblCellMar>
      </w:tblPr>
      <w:tblGrid>
        <w:gridCol w:w="837"/>
        <w:gridCol w:w="691"/>
        <w:gridCol w:w="473"/>
        <w:gridCol w:w="3506"/>
        <w:gridCol w:w="934"/>
        <w:gridCol w:w="1056"/>
        <w:gridCol w:w="1212"/>
      </w:tblGrid>
      <w:tr>
        <w:tblPrEx>
          <w:tblLayout w:type="fixed"/>
          <w:tblCellMar>
            <w:top w:w="0" w:type="dxa"/>
            <w:left w:w="108" w:type="dxa"/>
            <w:bottom w:w="0" w:type="dxa"/>
            <w:right w:w="108" w:type="dxa"/>
          </w:tblCellMar>
        </w:tblPrEx>
        <w:trPr>
          <w:trHeight w:val="707" w:hRule="atLeast"/>
          <w:jc w:val="center"/>
        </w:trPr>
        <w:tc>
          <w:tcPr>
            <w:tcW w:w="837" w:type="dxa"/>
            <w:tcBorders>
              <w:top w:val="single" w:color="auto" w:sz="4" w:space="0"/>
              <w:left w:val="single" w:color="auto" w:sz="4" w:space="0"/>
              <w:bottom w:val="single" w:color="auto" w:sz="4" w:space="0"/>
            </w:tcBorders>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院校代码</w:t>
            </w:r>
          </w:p>
        </w:tc>
        <w:tc>
          <w:tcPr>
            <w:tcW w:w="691" w:type="dxa"/>
            <w:tcBorders>
              <w:top w:val="single" w:color="auto" w:sz="4" w:space="0"/>
              <w:left w:val="single" w:color="auto" w:sz="4" w:space="0"/>
              <w:bottom w:val="single" w:color="auto" w:sz="4" w:space="0"/>
            </w:tcBorders>
            <w:vAlign w:val="center"/>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院校名称</w:t>
            </w:r>
          </w:p>
        </w:tc>
        <w:tc>
          <w:tcPr>
            <w:tcW w:w="3979"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指标</w:t>
            </w:r>
          </w:p>
        </w:tc>
        <w:tc>
          <w:tcPr>
            <w:tcW w:w="934" w:type="dxa"/>
            <w:tcBorders>
              <w:top w:val="single" w:color="auto" w:sz="4" w:space="0"/>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1056" w:type="dxa"/>
            <w:tcBorders>
              <w:top w:val="single" w:color="auto" w:sz="4" w:space="0"/>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2017年</w:t>
            </w:r>
          </w:p>
        </w:tc>
        <w:tc>
          <w:tcPr>
            <w:tcW w:w="1212" w:type="dxa"/>
            <w:tcBorders>
              <w:top w:val="single" w:color="auto" w:sz="4" w:space="0"/>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b/>
                <w:bCs/>
                <w:kern w:val="0"/>
                <w:szCs w:val="21"/>
              </w:rPr>
            </w:pPr>
            <w:r>
              <w:rPr>
                <w:rFonts w:hint="eastAsia" w:ascii="仿宋" w:hAnsi="仿宋" w:eastAsia="仿宋" w:cs="宋体"/>
                <w:b/>
                <w:bCs/>
                <w:kern w:val="0"/>
                <w:szCs w:val="21"/>
              </w:rPr>
              <w:t>2018年</w:t>
            </w:r>
          </w:p>
        </w:tc>
      </w:tr>
      <w:tr>
        <w:tblPrEx>
          <w:tblLayout w:type="fixed"/>
          <w:tblCellMar>
            <w:top w:w="0" w:type="dxa"/>
            <w:left w:w="108" w:type="dxa"/>
            <w:bottom w:w="0" w:type="dxa"/>
            <w:right w:w="108" w:type="dxa"/>
          </w:tblCellMar>
        </w:tblPrEx>
        <w:trPr>
          <w:trHeight w:val="285" w:hRule="atLeast"/>
          <w:jc w:val="center"/>
        </w:trPr>
        <w:tc>
          <w:tcPr>
            <w:tcW w:w="837" w:type="dxa"/>
            <w:vMerge w:val="restart"/>
            <w:tcBorders>
              <w:top w:val="single" w:color="auto" w:sz="4" w:space="0"/>
              <w:lef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14091</w:t>
            </w:r>
          </w:p>
        </w:tc>
        <w:tc>
          <w:tcPr>
            <w:tcW w:w="691" w:type="dxa"/>
            <w:vMerge w:val="restart"/>
            <w:tcBorders>
              <w:top w:val="single" w:color="auto" w:sz="4" w:space="0"/>
              <w:lef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1</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 xml:space="preserve">就业率 </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99.36</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98.94</w:t>
            </w: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691"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2</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月收入</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元</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2573.37</w:t>
            </w:r>
          </w:p>
        </w:tc>
        <w:tc>
          <w:tcPr>
            <w:tcW w:w="1212" w:type="dxa"/>
            <w:tcBorders>
              <w:top w:val="nil"/>
              <w:left w:val="nil"/>
              <w:bottom w:val="single" w:color="auto" w:sz="4" w:space="0"/>
              <w:right w:val="single" w:color="auto" w:sz="4" w:space="0"/>
            </w:tcBorders>
            <w:vAlign w:val="center"/>
          </w:tcPr>
          <w:tbl>
            <w:tblPr>
              <w:tblStyle w:val="19"/>
              <w:tblW w:w="1010" w:type="dxa"/>
              <w:tblCellSpacing w:w="15" w:type="dxa"/>
              <w:tblInd w:w="0" w:type="dxa"/>
              <w:tblLayout w:type="fixed"/>
              <w:tblCellMar>
                <w:top w:w="15" w:type="dxa"/>
                <w:left w:w="15" w:type="dxa"/>
                <w:bottom w:w="15" w:type="dxa"/>
                <w:right w:w="15" w:type="dxa"/>
              </w:tblCellMar>
            </w:tblPr>
            <w:tblGrid>
              <w:gridCol w:w="915"/>
              <w:gridCol w:w="95"/>
            </w:tblGrid>
            <w:tr>
              <w:tblPrEx>
                <w:tblLayout w:type="fixed"/>
                <w:tblCellMar>
                  <w:top w:w="15" w:type="dxa"/>
                  <w:left w:w="15" w:type="dxa"/>
                  <w:bottom w:w="15" w:type="dxa"/>
                  <w:right w:w="15" w:type="dxa"/>
                </w:tblCellMar>
              </w:tblPrEx>
              <w:trPr>
                <w:tblCellSpacing w:w="15" w:type="dxa"/>
              </w:trPr>
              <w:tc>
                <w:tcPr>
                  <w:tcW w:w="870" w:type="dxa"/>
                  <w:vAlign w:val="center"/>
                </w:tcPr>
                <w:p>
                  <w:pPr>
                    <w:widowControl/>
                    <w:jc w:val="right"/>
                    <w:rPr>
                      <w:rFonts w:ascii="仿宋" w:hAnsi="仿宋" w:eastAsia="仿宋" w:cs="宋体"/>
                      <w:kern w:val="0"/>
                      <w:szCs w:val="21"/>
                    </w:rPr>
                  </w:pPr>
                  <w:r>
                    <w:rPr>
                      <w:rFonts w:ascii="仿宋" w:hAnsi="仿宋" w:eastAsia="仿宋" w:cs="宋体"/>
                      <w:kern w:val="0"/>
                      <w:szCs w:val="21"/>
                    </w:rPr>
                    <w:t>2652.91</w:t>
                  </w:r>
                </w:p>
              </w:tc>
              <w:tc>
                <w:tcPr>
                  <w:tcW w:w="50" w:type="dxa"/>
                  <w:vAlign w:val="center"/>
                </w:tcPr>
                <w:p>
                  <w:pPr>
                    <w:widowControl/>
                    <w:jc w:val="left"/>
                    <w:rPr>
                      <w:rFonts w:ascii="仿宋" w:hAnsi="仿宋" w:eastAsia="仿宋" w:cs="宋体"/>
                      <w:kern w:val="0"/>
                      <w:szCs w:val="21"/>
                    </w:rPr>
                  </w:pPr>
                </w:p>
              </w:tc>
            </w:tr>
          </w:tbl>
          <w:p>
            <w:pPr>
              <w:widowControl/>
              <w:snapToGrid w:val="0"/>
              <w:spacing w:line="312" w:lineRule="auto"/>
              <w:jc w:val="center"/>
              <w:rPr>
                <w:rFonts w:ascii="仿宋" w:hAnsi="仿宋" w:eastAsia="仿宋" w:cs="宋体"/>
                <w:kern w:val="0"/>
                <w:szCs w:val="21"/>
              </w:rPr>
            </w:pP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tcBorders>
          </w:tcPr>
          <w:p>
            <w:pPr>
              <w:widowControl/>
              <w:snapToGrid w:val="0"/>
              <w:spacing w:line="312" w:lineRule="auto"/>
              <w:ind w:firstLine="105" w:firstLineChars="50"/>
              <w:rPr>
                <w:rFonts w:ascii="仿宋" w:hAnsi="仿宋" w:eastAsia="仿宋" w:cs="宋体"/>
                <w:kern w:val="0"/>
                <w:szCs w:val="21"/>
              </w:rPr>
            </w:pPr>
          </w:p>
        </w:tc>
        <w:tc>
          <w:tcPr>
            <w:tcW w:w="691" w:type="dxa"/>
            <w:vMerge w:val="continue"/>
            <w:tcBorders>
              <w:left w:val="single" w:color="auto" w:sz="4" w:space="0"/>
            </w:tcBorders>
          </w:tcPr>
          <w:p>
            <w:pPr>
              <w:widowControl/>
              <w:snapToGrid w:val="0"/>
              <w:spacing w:line="312" w:lineRule="auto"/>
              <w:ind w:firstLine="105" w:firstLineChars="50"/>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3</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理工农医类专业相关度</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tcBorders>
          </w:tcPr>
          <w:p>
            <w:pPr>
              <w:widowControl/>
              <w:snapToGrid w:val="0"/>
              <w:spacing w:line="312" w:lineRule="auto"/>
              <w:ind w:firstLine="105" w:firstLineChars="50"/>
              <w:rPr>
                <w:rFonts w:ascii="仿宋" w:hAnsi="仿宋" w:eastAsia="仿宋" w:cs="宋体"/>
                <w:kern w:val="0"/>
                <w:szCs w:val="21"/>
              </w:rPr>
            </w:pPr>
          </w:p>
        </w:tc>
        <w:tc>
          <w:tcPr>
            <w:tcW w:w="691" w:type="dxa"/>
            <w:vMerge w:val="continue"/>
            <w:tcBorders>
              <w:left w:val="single" w:color="auto" w:sz="4" w:space="0"/>
            </w:tcBorders>
          </w:tcPr>
          <w:p>
            <w:pPr>
              <w:widowControl/>
              <w:snapToGrid w:val="0"/>
              <w:spacing w:line="312" w:lineRule="auto"/>
              <w:ind w:firstLine="105" w:firstLineChars="50"/>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4</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母校满意度</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99.29</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98.00</w:t>
            </w: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691"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5</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自主创业比例</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1.29</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0.2</w:t>
            </w: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691" w:type="dxa"/>
            <w:vMerge w:val="continue"/>
            <w:tcBorders>
              <w:left w:val="single" w:color="auto" w:sz="4" w:space="0"/>
            </w:tcBorders>
          </w:tcPr>
          <w:p>
            <w:pPr>
              <w:widowControl/>
              <w:snapToGrid w:val="0"/>
              <w:spacing w:line="312" w:lineRule="auto"/>
              <w:jc w:val="center"/>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6</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雇主满意度</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98.4</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97.32</w:t>
            </w:r>
          </w:p>
        </w:tc>
      </w:tr>
      <w:tr>
        <w:tblPrEx>
          <w:tblLayout w:type="fixed"/>
          <w:tblCellMar>
            <w:top w:w="0" w:type="dxa"/>
            <w:left w:w="108" w:type="dxa"/>
            <w:bottom w:w="0" w:type="dxa"/>
            <w:right w:w="108" w:type="dxa"/>
          </w:tblCellMar>
        </w:tblPrEx>
        <w:trPr>
          <w:trHeight w:val="285" w:hRule="atLeast"/>
          <w:jc w:val="center"/>
        </w:trPr>
        <w:tc>
          <w:tcPr>
            <w:tcW w:w="837" w:type="dxa"/>
            <w:vMerge w:val="continue"/>
            <w:tcBorders>
              <w:left w:val="single" w:color="auto" w:sz="4" w:space="0"/>
              <w:bottom w:val="single" w:color="auto" w:sz="4" w:space="0"/>
            </w:tcBorders>
          </w:tcPr>
          <w:p>
            <w:pPr>
              <w:widowControl/>
              <w:snapToGrid w:val="0"/>
              <w:spacing w:line="312" w:lineRule="auto"/>
              <w:jc w:val="center"/>
              <w:rPr>
                <w:rFonts w:ascii="仿宋" w:hAnsi="仿宋" w:eastAsia="仿宋" w:cs="宋体"/>
                <w:kern w:val="0"/>
                <w:szCs w:val="21"/>
              </w:rPr>
            </w:pPr>
          </w:p>
        </w:tc>
        <w:tc>
          <w:tcPr>
            <w:tcW w:w="691" w:type="dxa"/>
            <w:vMerge w:val="continue"/>
            <w:tcBorders>
              <w:left w:val="single" w:color="auto" w:sz="4" w:space="0"/>
              <w:bottom w:val="single" w:color="auto" w:sz="4" w:space="0"/>
            </w:tcBorders>
          </w:tcPr>
          <w:p>
            <w:pPr>
              <w:widowControl/>
              <w:snapToGrid w:val="0"/>
              <w:spacing w:line="312" w:lineRule="auto"/>
              <w:jc w:val="center"/>
              <w:rPr>
                <w:rFonts w:ascii="仿宋" w:hAnsi="仿宋" w:eastAsia="仿宋" w:cs="宋体"/>
                <w:kern w:val="0"/>
                <w:szCs w:val="21"/>
              </w:rPr>
            </w:pPr>
          </w:p>
        </w:tc>
        <w:tc>
          <w:tcPr>
            <w:tcW w:w="473" w:type="dxa"/>
            <w:tcBorders>
              <w:top w:val="nil"/>
              <w:left w:val="single" w:color="auto" w:sz="4" w:space="0"/>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7</w:t>
            </w:r>
          </w:p>
        </w:tc>
        <w:tc>
          <w:tcPr>
            <w:tcW w:w="3506" w:type="dxa"/>
            <w:tcBorders>
              <w:top w:val="nil"/>
              <w:left w:val="nil"/>
              <w:bottom w:val="single" w:color="auto" w:sz="4" w:space="0"/>
              <w:right w:val="single" w:color="auto" w:sz="4" w:space="0"/>
            </w:tcBorders>
            <w:vAlign w:val="center"/>
          </w:tcPr>
          <w:p>
            <w:pPr>
              <w:widowControl/>
              <w:snapToGrid w:val="0"/>
              <w:spacing w:line="312" w:lineRule="auto"/>
              <w:jc w:val="left"/>
              <w:rPr>
                <w:rFonts w:ascii="仿宋" w:hAnsi="仿宋" w:eastAsia="仿宋" w:cs="宋体"/>
                <w:kern w:val="0"/>
                <w:szCs w:val="21"/>
              </w:rPr>
            </w:pPr>
            <w:r>
              <w:rPr>
                <w:rFonts w:hint="eastAsia" w:ascii="仿宋" w:hAnsi="仿宋" w:eastAsia="仿宋" w:cs="宋体"/>
                <w:kern w:val="0"/>
                <w:szCs w:val="21"/>
              </w:rPr>
              <w:t>毕业三年职位晋升比例</w:t>
            </w:r>
          </w:p>
        </w:tc>
        <w:tc>
          <w:tcPr>
            <w:tcW w:w="934"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w:t>
            </w:r>
          </w:p>
        </w:tc>
        <w:tc>
          <w:tcPr>
            <w:tcW w:w="1056"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22.47</w:t>
            </w:r>
          </w:p>
        </w:tc>
        <w:tc>
          <w:tcPr>
            <w:tcW w:w="1212" w:type="dxa"/>
            <w:tcBorders>
              <w:top w:val="nil"/>
              <w:left w:val="nil"/>
              <w:bottom w:val="single" w:color="auto" w:sz="4" w:space="0"/>
              <w:righ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23.45</w:t>
            </w:r>
          </w:p>
        </w:tc>
      </w:tr>
    </w:tbl>
    <w:p>
      <w:pPr>
        <w:spacing w:after="156" w:afterLines="50" w:line="560" w:lineRule="exact"/>
        <w:jc w:val="center"/>
        <w:rPr>
          <w:rFonts w:ascii="仿宋" w:hAnsi="仿宋" w:eastAsia="仿宋"/>
          <w:b/>
          <w:szCs w:val="21"/>
        </w:rPr>
      </w:pPr>
      <w:r>
        <w:rPr>
          <w:rFonts w:ascii="仿宋" w:hAnsi="仿宋" w:eastAsia="仿宋"/>
          <w:b/>
          <w:szCs w:val="21"/>
        </w:rPr>
        <w:t>表</w:t>
      </w:r>
      <w:r>
        <w:rPr>
          <w:rFonts w:hint="eastAsia" w:ascii="仿宋" w:hAnsi="仿宋" w:eastAsia="仿宋"/>
          <w:b/>
          <w:szCs w:val="21"/>
        </w:rPr>
        <w:t xml:space="preserve">2 </w:t>
      </w:r>
      <w:r>
        <w:rPr>
          <w:rFonts w:ascii="仿宋" w:hAnsi="仿宋" w:eastAsia="仿宋"/>
          <w:b/>
          <w:szCs w:val="21"/>
        </w:rPr>
        <w:t xml:space="preserve"> </w:t>
      </w:r>
      <w:r>
        <w:rPr>
          <w:rFonts w:hint="eastAsia" w:ascii="仿宋" w:hAnsi="仿宋" w:eastAsia="仿宋"/>
          <w:b/>
          <w:szCs w:val="21"/>
        </w:rPr>
        <w:t>学生反馈表</w:t>
      </w:r>
    </w:p>
    <w:tbl>
      <w:tblPr>
        <w:tblStyle w:val="19"/>
        <w:tblW w:w="89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672"/>
        <w:gridCol w:w="425"/>
        <w:gridCol w:w="2268"/>
        <w:gridCol w:w="1172"/>
        <w:gridCol w:w="825"/>
        <w:gridCol w:w="961"/>
        <w:gridCol w:w="961"/>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shd w:val="clear" w:color="auto" w:fill="auto"/>
          </w:tcPr>
          <w:p>
            <w:pPr>
              <w:jc w:val="center"/>
              <w:rPr>
                <w:rFonts w:ascii="仿宋" w:hAnsi="仿宋" w:eastAsia="仿宋"/>
                <w:b/>
                <w:szCs w:val="21"/>
              </w:rPr>
            </w:pPr>
            <w:r>
              <w:rPr>
                <w:rFonts w:hint="eastAsia" w:ascii="仿宋" w:hAnsi="仿宋" w:eastAsia="仿宋"/>
                <w:b/>
                <w:szCs w:val="21"/>
              </w:rPr>
              <w:t>院校代码</w:t>
            </w:r>
          </w:p>
        </w:tc>
        <w:tc>
          <w:tcPr>
            <w:tcW w:w="672" w:type="dxa"/>
            <w:shd w:val="clear" w:color="auto" w:fill="auto"/>
          </w:tcPr>
          <w:p>
            <w:pPr>
              <w:jc w:val="center"/>
              <w:rPr>
                <w:rFonts w:ascii="仿宋" w:hAnsi="仿宋" w:eastAsia="仿宋"/>
                <w:b/>
                <w:szCs w:val="21"/>
              </w:rPr>
            </w:pPr>
            <w:r>
              <w:rPr>
                <w:rFonts w:hint="eastAsia" w:ascii="仿宋" w:hAnsi="仿宋" w:eastAsia="仿宋"/>
                <w:b/>
                <w:szCs w:val="21"/>
              </w:rPr>
              <w:t>院校名称</w:t>
            </w:r>
          </w:p>
        </w:tc>
        <w:tc>
          <w:tcPr>
            <w:tcW w:w="3865" w:type="dxa"/>
            <w:gridSpan w:val="3"/>
            <w:shd w:val="clear" w:color="auto" w:fill="auto"/>
            <w:vAlign w:val="center"/>
          </w:tcPr>
          <w:p>
            <w:pPr>
              <w:jc w:val="center"/>
              <w:rPr>
                <w:rFonts w:ascii="仿宋" w:hAnsi="仿宋" w:eastAsia="仿宋"/>
                <w:b/>
                <w:szCs w:val="21"/>
              </w:rPr>
            </w:pPr>
            <w:r>
              <w:rPr>
                <w:rFonts w:hint="eastAsia" w:ascii="仿宋" w:hAnsi="仿宋" w:eastAsia="仿宋"/>
                <w:b/>
                <w:szCs w:val="21"/>
              </w:rPr>
              <w:t>指标</w:t>
            </w:r>
          </w:p>
        </w:tc>
        <w:tc>
          <w:tcPr>
            <w:tcW w:w="825" w:type="dxa"/>
            <w:shd w:val="clear" w:color="auto" w:fill="auto"/>
            <w:vAlign w:val="center"/>
          </w:tcPr>
          <w:p>
            <w:pPr>
              <w:jc w:val="center"/>
              <w:rPr>
                <w:rFonts w:ascii="仿宋" w:hAnsi="仿宋" w:eastAsia="仿宋"/>
                <w:b/>
                <w:szCs w:val="21"/>
              </w:rPr>
            </w:pPr>
            <w:r>
              <w:rPr>
                <w:rFonts w:hint="eastAsia" w:ascii="仿宋" w:hAnsi="仿宋" w:eastAsia="仿宋"/>
                <w:b/>
                <w:szCs w:val="21"/>
              </w:rPr>
              <w:t>单位</w:t>
            </w:r>
          </w:p>
        </w:tc>
        <w:tc>
          <w:tcPr>
            <w:tcW w:w="961" w:type="dxa"/>
            <w:tcBorders>
              <w:bottom w:val="single" w:color="auto" w:sz="4" w:space="0"/>
            </w:tcBorders>
            <w:shd w:val="clear" w:color="auto" w:fill="auto"/>
            <w:vAlign w:val="center"/>
          </w:tcPr>
          <w:p>
            <w:pPr>
              <w:jc w:val="center"/>
              <w:rPr>
                <w:rFonts w:ascii="仿宋" w:hAnsi="仿宋" w:eastAsia="仿宋"/>
                <w:b/>
                <w:szCs w:val="21"/>
              </w:rPr>
            </w:pPr>
            <w:r>
              <w:rPr>
                <w:rFonts w:hint="eastAsia" w:ascii="仿宋" w:hAnsi="仿宋" w:eastAsia="仿宋"/>
                <w:b/>
                <w:szCs w:val="21"/>
              </w:rPr>
              <w:t>一年级</w:t>
            </w:r>
          </w:p>
        </w:tc>
        <w:tc>
          <w:tcPr>
            <w:tcW w:w="961" w:type="dxa"/>
            <w:tcBorders>
              <w:bottom w:val="single" w:color="auto" w:sz="4" w:space="0"/>
            </w:tcBorders>
            <w:shd w:val="clear" w:color="auto" w:fill="auto"/>
            <w:vAlign w:val="center"/>
          </w:tcPr>
          <w:p>
            <w:pPr>
              <w:jc w:val="center"/>
              <w:rPr>
                <w:rFonts w:ascii="仿宋" w:hAnsi="仿宋" w:eastAsia="仿宋"/>
                <w:b/>
                <w:szCs w:val="21"/>
              </w:rPr>
            </w:pPr>
            <w:r>
              <w:rPr>
                <w:rFonts w:hint="eastAsia" w:ascii="仿宋" w:hAnsi="仿宋" w:eastAsia="仿宋"/>
                <w:b/>
                <w:szCs w:val="21"/>
              </w:rPr>
              <w:t>二年级</w:t>
            </w:r>
          </w:p>
        </w:tc>
        <w:tc>
          <w:tcPr>
            <w:tcW w:w="959" w:type="dxa"/>
            <w:tcBorders>
              <w:bottom w:val="single" w:color="auto" w:sz="4" w:space="0"/>
            </w:tcBorders>
            <w:shd w:val="clear" w:color="auto" w:fill="auto"/>
            <w:vAlign w:val="center"/>
          </w:tcPr>
          <w:p>
            <w:pPr>
              <w:jc w:val="center"/>
              <w:rPr>
                <w:rFonts w:ascii="仿宋" w:hAnsi="仿宋" w:eastAsia="仿宋"/>
                <w:b/>
                <w:szCs w:val="21"/>
              </w:rPr>
            </w:pPr>
            <w:r>
              <w:rPr>
                <w:rFonts w:hint="eastAsia" w:ascii="仿宋" w:hAnsi="仿宋" w:eastAsia="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restart"/>
            <w:tcBorders>
              <w:top w:val="single" w:color="auto" w:sz="4" w:space="0"/>
              <w:left w:val="single" w:color="auto" w:sz="4" w:space="0"/>
            </w:tcBorders>
            <w:vAlign w:val="center"/>
          </w:tcPr>
          <w:p>
            <w:pPr>
              <w:widowControl/>
              <w:snapToGrid w:val="0"/>
              <w:spacing w:line="312" w:lineRule="auto"/>
              <w:jc w:val="center"/>
              <w:rPr>
                <w:rFonts w:ascii="仿宋" w:hAnsi="仿宋" w:eastAsia="仿宋" w:cs="宋体"/>
                <w:kern w:val="0"/>
                <w:szCs w:val="21"/>
              </w:rPr>
            </w:pPr>
            <w:r>
              <w:rPr>
                <w:rFonts w:ascii="仿宋" w:hAnsi="仿宋" w:eastAsia="仿宋" w:cs="宋体"/>
                <w:kern w:val="0"/>
                <w:szCs w:val="21"/>
              </w:rPr>
              <w:t>14091</w:t>
            </w:r>
          </w:p>
        </w:tc>
        <w:tc>
          <w:tcPr>
            <w:tcW w:w="672" w:type="dxa"/>
            <w:vMerge w:val="restart"/>
            <w:tcBorders>
              <w:top w:val="single" w:color="auto" w:sz="4" w:space="0"/>
              <w:left w:val="single" w:color="auto" w:sz="4" w:space="0"/>
            </w:tcBorders>
            <w:vAlign w:val="center"/>
          </w:tcPr>
          <w:p>
            <w:pPr>
              <w:widowControl/>
              <w:snapToGrid w:val="0"/>
              <w:spacing w:line="312" w:lineRule="auto"/>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425" w:type="dxa"/>
            <w:shd w:val="clear" w:color="auto" w:fill="auto"/>
            <w:vAlign w:val="center"/>
          </w:tcPr>
          <w:p>
            <w:pPr>
              <w:jc w:val="center"/>
              <w:rPr>
                <w:rFonts w:ascii="仿宋" w:hAnsi="仿宋" w:eastAsia="仿宋"/>
                <w:szCs w:val="21"/>
              </w:rPr>
            </w:pPr>
            <w:r>
              <w:rPr>
                <w:rFonts w:hint="eastAsia" w:ascii="仿宋" w:hAnsi="仿宋" w:eastAsia="仿宋"/>
                <w:szCs w:val="21"/>
              </w:rPr>
              <w:t>1</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全日制在校生人数</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人</w:t>
            </w:r>
          </w:p>
        </w:tc>
        <w:tc>
          <w:tcPr>
            <w:tcW w:w="961" w:type="dxa"/>
            <w:tcBorders>
              <w:bottom w:val="single" w:color="auto" w:sz="4" w:space="0"/>
            </w:tcBorders>
            <w:shd w:val="clear" w:color="auto" w:fill="auto"/>
            <w:vAlign w:val="center"/>
          </w:tcPr>
          <w:p>
            <w:pPr>
              <w:jc w:val="center"/>
              <w:rPr>
                <w:rFonts w:ascii="仿宋" w:hAnsi="仿宋" w:eastAsia="仿宋"/>
                <w:szCs w:val="21"/>
              </w:rPr>
            </w:pPr>
            <w:r>
              <w:rPr>
                <w:rFonts w:hint="eastAsia" w:ascii="仿宋" w:hAnsi="仿宋" w:eastAsia="仿宋"/>
                <w:szCs w:val="21"/>
              </w:rPr>
              <w:t>2116</w:t>
            </w:r>
          </w:p>
        </w:tc>
        <w:tc>
          <w:tcPr>
            <w:tcW w:w="961" w:type="dxa"/>
            <w:tcBorders>
              <w:bottom w:val="single" w:color="auto" w:sz="4" w:space="0"/>
            </w:tcBorders>
            <w:shd w:val="clear" w:color="auto" w:fill="auto"/>
            <w:vAlign w:val="center"/>
          </w:tcPr>
          <w:p>
            <w:pPr>
              <w:jc w:val="center"/>
              <w:rPr>
                <w:rFonts w:ascii="仿宋" w:hAnsi="仿宋" w:eastAsia="仿宋"/>
                <w:szCs w:val="21"/>
              </w:rPr>
            </w:pPr>
            <w:r>
              <w:rPr>
                <w:rFonts w:hint="eastAsia" w:ascii="仿宋" w:hAnsi="仿宋" w:eastAsia="仿宋"/>
                <w:szCs w:val="21"/>
              </w:rPr>
              <w:t>2140</w:t>
            </w:r>
          </w:p>
        </w:tc>
        <w:tc>
          <w:tcPr>
            <w:tcW w:w="959" w:type="dxa"/>
            <w:tcBorders>
              <w:bottom w:val="single" w:color="auto" w:sz="4" w:space="0"/>
            </w:tcBorders>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tcBorders>
              <w:left w:val="single" w:color="auto" w:sz="4" w:space="0"/>
            </w:tcBorders>
          </w:tcPr>
          <w:p>
            <w:pPr>
              <w:jc w:val="center"/>
              <w:rPr>
                <w:rFonts w:ascii="仿宋" w:hAnsi="仿宋" w:eastAsia="仿宋"/>
                <w:szCs w:val="21"/>
              </w:rPr>
            </w:pPr>
          </w:p>
        </w:tc>
        <w:tc>
          <w:tcPr>
            <w:tcW w:w="672" w:type="dxa"/>
            <w:vMerge w:val="continue"/>
            <w:tcBorders>
              <w:left w:val="single" w:color="auto" w:sz="4" w:space="0"/>
            </w:tcBorders>
          </w:tcPr>
          <w:p>
            <w:pPr>
              <w:jc w:val="center"/>
              <w:rPr>
                <w:rFonts w:ascii="仿宋" w:hAnsi="仿宋" w:eastAsia="仿宋"/>
                <w:szCs w:val="21"/>
              </w:rPr>
            </w:pPr>
          </w:p>
        </w:tc>
        <w:tc>
          <w:tcPr>
            <w:tcW w:w="425" w:type="dxa"/>
            <w:vMerge w:val="restart"/>
            <w:shd w:val="clear" w:color="auto" w:fill="auto"/>
            <w:vAlign w:val="center"/>
          </w:tcPr>
          <w:p>
            <w:pPr>
              <w:jc w:val="center"/>
              <w:rPr>
                <w:rFonts w:ascii="仿宋" w:hAnsi="仿宋" w:eastAsia="仿宋"/>
                <w:szCs w:val="21"/>
              </w:rPr>
            </w:pPr>
            <w:r>
              <w:rPr>
                <w:rFonts w:hint="eastAsia" w:ascii="仿宋" w:hAnsi="仿宋" w:eastAsia="仿宋"/>
                <w:szCs w:val="21"/>
              </w:rPr>
              <w:t>2</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教书育人满意度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741" w:type="dxa"/>
            <w:vMerge w:val="continue"/>
            <w:tcBorders>
              <w:left w:val="single" w:color="auto" w:sz="4" w:space="0"/>
            </w:tcBorders>
          </w:tcPr>
          <w:p>
            <w:pPr>
              <w:jc w:val="center"/>
              <w:rPr>
                <w:rFonts w:ascii="仿宋" w:hAnsi="仿宋" w:eastAsia="仿宋"/>
                <w:szCs w:val="21"/>
              </w:rPr>
            </w:pPr>
          </w:p>
        </w:tc>
        <w:tc>
          <w:tcPr>
            <w:tcW w:w="672" w:type="dxa"/>
            <w:vMerge w:val="continue"/>
            <w:tcBorders>
              <w:left w:val="single" w:color="auto" w:sz="4" w:space="0"/>
            </w:tcBorders>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jc w:val="left"/>
              <w:rPr>
                <w:rFonts w:ascii="仿宋" w:hAnsi="仿宋" w:eastAsia="仿宋"/>
                <w:szCs w:val="21"/>
              </w:rPr>
            </w:pPr>
            <w:r>
              <w:rPr>
                <w:rFonts w:hint="eastAsia" w:ascii="仿宋" w:hAnsi="仿宋" w:eastAsia="仿宋"/>
                <w:szCs w:val="21"/>
              </w:rPr>
              <w:t>（1）课堂育人</w:t>
            </w:r>
          </w:p>
        </w:tc>
        <w:tc>
          <w:tcPr>
            <w:tcW w:w="1172" w:type="dxa"/>
            <w:shd w:val="clear" w:color="auto" w:fill="auto"/>
          </w:tcPr>
          <w:p>
            <w:pPr>
              <w:rPr>
                <w:rFonts w:ascii="仿宋" w:hAnsi="仿宋" w:eastAsia="仿宋"/>
                <w:szCs w:val="21"/>
              </w:rPr>
            </w:pPr>
            <w:r>
              <w:rPr>
                <w:rFonts w:hint="eastAsia" w:ascii="仿宋" w:hAnsi="仿宋" w:eastAsia="仿宋"/>
                <w:szCs w:val="21"/>
              </w:rPr>
              <w:t>调研人次</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人次</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15735</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27329</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741" w:type="dxa"/>
            <w:vMerge w:val="continue"/>
            <w:tcBorders>
              <w:left w:val="single" w:color="auto" w:sz="4" w:space="0"/>
            </w:tcBorders>
          </w:tcPr>
          <w:p>
            <w:pPr>
              <w:jc w:val="center"/>
              <w:rPr>
                <w:rFonts w:ascii="仿宋" w:hAnsi="仿宋" w:eastAsia="仿宋"/>
                <w:szCs w:val="21"/>
              </w:rPr>
            </w:pPr>
          </w:p>
        </w:tc>
        <w:tc>
          <w:tcPr>
            <w:tcW w:w="672" w:type="dxa"/>
            <w:vMerge w:val="continue"/>
            <w:tcBorders>
              <w:left w:val="single" w:color="auto" w:sz="4" w:space="0"/>
            </w:tcBorders>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vAlign w:val="center"/>
          </w:tcPr>
          <w:p>
            <w:pPr>
              <w:jc w:val="left"/>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93.80</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92.72</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tcBorders>
              <w:left w:val="single" w:color="auto" w:sz="4" w:space="0"/>
            </w:tcBorders>
          </w:tcPr>
          <w:p>
            <w:pPr>
              <w:jc w:val="center"/>
              <w:rPr>
                <w:rFonts w:ascii="仿宋" w:hAnsi="仿宋" w:eastAsia="仿宋"/>
                <w:szCs w:val="21"/>
              </w:rPr>
            </w:pPr>
          </w:p>
        </w:tc>
        <w:tc>
          <w:tcPr>
            <w:tcW w:w="672" w:type="dxa"/>
            <w:vMerge w:val="continue"/>
            <w:tcBorders>
              <w:left w:val="single" w:color="auto" w:sz="4" w:space="0"/>
            </w:tcBorders>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jc w:val="left"/>
              <w:rPr>
                <w:rFonts w:ascii="仿宋" w:hAnsi="仿宋" w:eastAsia="仿宋"/>
                <w:szCs w:val="21"/>
              </w:rPr>
            </w:pPr>
            <w:r>
              <w:rPr>
                <w:rFonts w:hint="eastAsia" w:ascii="仿宋" w:hAnsi="仿宋" w:eastAsia="仿宋"/>
                <w:szCs w:val="21"/>
              </w:rPr>
              <w:t>（2）课外育人</w:t>
            </w:r>
          </w:p>
        </w:tc>
        <w:tc>
          <w:tcPr>
            <w:tcW w:w="1172" w:type="dxa"/>
            <w:shd w:val="clear" w:color="auto" w:fill="auto"/>
          </w:tcPr>
          <w:p>
            <w:pPr>
              <w:rPr>
                <w:rFonts w:ascii="仿宋" w:hAnsi="仿宋" w:eastAsia="仿宋"/>
                <w:szCs w:val="21"/>
              </w:rPr>
            </w:pPr>
            <w:r>
              <w:rPr>
                <w:rFonts w:hint="eastAsia" w:ascii="仿宋" w:hAnsi="仿宋" w:eastAsia="仿宋"/>
                <w:szCs w:val="21"/>
              </w:rPr>
              <w:t>调研人次</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人次</w:t>
            </w:r>
          </w:p>
        </w:tc>
        <w:tc>
          <w:tcPr>
            <w:tcW w:w="961" w:type="dxa"/>
            <w:shd w:val="clear" w:color="auto" w:fill="auto"/>
          </w:tcPr>
          <w:p>
            <w:pPr>
              <w:jc w:val="center"/>
              <w:rPr>
                <w:rFonts w:ascii="仿宋" w:hAnsi="仿宋" w:eastAsia="仿宋"/>
                <w:szCs w:val="21"/>
              </w:rPr>
            </w:pPr>
            <w:r>
              <w:rPr>
                <w:rFonts w:hint="eastAsia" w:ascii="仿宋" w:hAnsi="仿宋" w:eastAsia="仿宋"/>
                <w:szCs w:val="21"/>
              </w:rPr>
              <w:t>16394</w:t>
            </w:r>
          </w:p>
        </w:tc>
        <w:tc>
          <w:tcPr>
            <w:tcW w:w="961" w:type="dxa"/>
            <w:shd w:val="clear" w:color="auto" w:fill="auto"/>
          </w:tcPr>
          <w:p>
            <w:pPr>
              <w:jc w:val="center"/>
              <w:rPr>
                <w:rFonts w:ascii="仿宋" w:hAnsi="仿宋" w:eastAsia="仿宋"/>
                <w:szCs w:val="21"/>
              </w:rPr>
            </w:pPr>
            <w:r>
              <w:rPr>
                <w:rFonts w:hint="eastAsia" w:ascii="仿宋" w:hAnsi="仿宋" w:eastAsia="仿宋"/>
                <w:szCs w:val="21"/>
              </w:rPr>
              <w:t>18748</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tcBorders>
              <w:left w:val="single" w:color="auto" w:sz="4" w:space="0"/>
            </w:tcBorders>
          </w:tcPr>
          <w:p>
            <w:pPr>
              <w:jc w:val="center"/>
              <w:rPr>
                <w:rFonts w:ascii="仿宋" w:hAnsi="仿宋" w:eastAsia="仿宋"/>
                <w:szCs w:val="21"/>
              </w:rPr>
            </w:pPr>
          </w:p>
        </w:tc>
        <w:tc>
          <w:tcPr>
            <w:tcW w:w="672" w:type="dxa"/>
            <w:vMerge w:val="continue"/>
            <w:tcBorders>
              <w:left w:val="single" w:color="auto" w:sz="4" w:space="0"/>
            </w:tcBorders>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tcPr>
          <w:p>
            <w:pP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tcBorders>
              <w:bottom w:val="single" w:color="auto" w:sz="4" w:space="0"/>
            </w:tcBorders>
            <w:shd w:val="clear" w:color="auto" w:fill="auto"/>
          </w:tcPr>
          <w:p>
            <w:pPr>
              <w:jc w:val="center"/>
              <w:rPr>
                <w:rFonts w:ascii="仿宋" w:hAnsi="仿宋" w:eastAsia="仿宋"/>
                <w:szCs w:val="21"/>
              </w:rPr>
            </w:pPr>
            <w:r>
              <w:rPr>
                <w:rFonts w:hint="eastAsia" w:ascii="仿宋" w:hAnsi="仿宋" w:eastAsia="仿宋"/>
                <w:szCs w:val="21"/>
              </w:rPr>
              <w:t>94.23</w:t>
            </w:r>
          </w:p>
        </w:tc>
        <w:tc>
          <w:tcPr>
            <w:tcW w:w="961" w:type="dxa"/>
            <w:tcBorders>
              <w:bottom w:val="single" w:color="auto" w:sz="4" w:space="0"/>
            </w:tcBorders>
            <w:shd w:val="clear" w:color="auto" w:fill="auto"/>
          </w:tcPr>
          <w:p>
            <w:pPr>
              <w:jc w:val="center"/>
              <w:rPr>
                <w:rFonts w:ascii="仿宋" w:hAnsi="仿宋" w:eastAsia="仿宋"/>
                <w:szCs w:val="21"/>
              </w:rPr>
            </w:pPr>
            <w:r>
              <w:rPr>
                <w:rFonts w:hint="eastAsia" w:ascii="仿宋" w:hAnsi="仿宋" w:eastAsia="仿宋"/>
                <w:szCs w:val="21"/>
              </w:rPr>
              <w:t>93.16</w:t>
            </w:r>
          </w:p>
        </w:tc>
        <w:tc>
          <w:tcPr>
            <w:tcW w:w="959" w:type="dxa"/>
            <w:tcBorders>
              <w:bottom w:val="single" w:color="auto" w:sz="4" w:space="0"/>
            </w:tcBorders>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tcBorders>
              <w:left w:val="single" w:color="auto" w:sz="4" w:space="0"/>
              <w:bottom w:val="single" w:color="auto" w:sz="4" w:space="0"/>
            </w:tcBorders>
          </w:tcPr>
          <w:p>
            <w:pPr>
              <w:jc w:val="center"/>
              <w:rPr>
                <w:rFonts w:ascii="仿宋" w:hAnsi="仿宋" w:eastAsia="仿宋"/>
                <w:szCs w:val="21"/>
              </w:rPr>
            </w:pPr>
          </w:p>
        </w:tc>
        <w:tc>
          <w:tcPr>
            <w:tcW w:w="672" w:type="dxa"/>
            <w:vMerge w:val="continue"/>
            <w:tcBorders>
              <w:left w:val="single" w:color="auto" w:sz="4" w:space="0"/>
              <w:bottom w:val="single" w:color="auto" w:sz="4" w:space="0"/>
            </w:tcBorders>
          </w:tcPr>
          <w:p>
            <w:pPr>
              <w:jc w:val="center"/>
              <w:rPr>
                <w:rFonts w:ascii="仿宋" w:hAnsi="仿宋" w:eastAsia="仿宋"/>
                <w:szCs w:val="21"/>
              </w:rPr>
            </w:pPr>
          </w:p>
        </w:tc>
        <w:tc>
          <w:tcPr>
            <w:tcW w:w="425" w:type="dxa"/>
            <w:vMerge w:val="restart"/>
            <w:shd w:val="clear" w:color="auto" w:fill="auto"/>
            <w:vAlign w:val="center"/>
          </w:tcPr>
          <w:p>
            <w:pPr>
              <w:jc w:val="center"/>
              <w:rPr>
                <w:rFonts w:ascii="仿宋" w:hAnsi="仿宋" w:eastAsia="仿宋"/>
                <w:szCs w:val="21"/>
              </w:rPr>
            </w:pPr>
            <w:r>
              <w:rPr>
                <w:rFonts w:hint="eastAsia" w:ascii="仿宋" w:hAnsi="仿宋" w:eastAsia="仿宋"/>
                <w:szCs w:val="21"/>
              </w:rPr>
              <w:t>3</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课程教学满意度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zCs w:val="21"/>
              </w:rPr>
            </w:pPr>
            <w:r>
              <w:rPr>
                <w:rFonts w:hint="eastAsia" w:ascii="仿宋" w:hAnsi="仿宋" w:eastAsia="仿宋"/>
                <w:szCs w:val="21"/>
              </w:rPr>
              <w:t>（1）思想政治课</w:t>
            </w:r>
          </w:p>
        </w:tc>
        <w:tc>
          <w:tcPr>
            <w:tcW w:w="1172" w:type="dxa"/>
            <w:shd w:val="clear" w:color="auto" w:fill="auto"/>
          </w:tcPr>
          <w:p>
            <w:pPr>
              <w:rPr>
                <w:rFonts w:ascii="仿宋" w:hAnsi="仿宋" w:eastAsia="仿宋"/>
                <w:szCs w:val="21"/>
              </w:rPr>
            </w:pPr>
            <w:r>
              <w:rPr>
                <w:rFonts w:hint="eastAsia" w:ascii="仿宋" w:hAnsi="仿宋" w:eastAsia="仿宋"/>
                <w:szCs w:val="21"/>
              </w:rPr>
              <w:t>调研课次</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课次</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2384</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2571</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vAlign w:val="center"/>
          </w:tcPr>
          <w:p>
            <w:pPr>
              <w:jc w:val="cente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93.34</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93.11</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pacing w:val="-20"/>
                <w:szCs w:val="21"/>
              </w:rPr>
            </w:pPr>
            <w:r>
              <w:rPr>
                <w:rFonts w:hint="eastAsia" w:ascii="仿宋" w:hAnsi="仿宋" w:eastAsia="仿宋"/>
                <w:szCs w:val="21"/>
              </w:rPr>
              <w:t>（2）</w:t>
            </w:r>
            <w:r>
              <w:rPr>
                <w:rFonts w:hint="eastAsia" w:ascii="仿宋" w:hAnsi="仿宋" w:eastAsia="仿宋"/>
                <w:spacing w:val="-20"/>
                <w:szCs w:val="21"/>
              </w:rPr>
              <w:t>公共基础课（不含思想政治课）</w:t>
            </w:r>
          </w:p>
        </w:tc>
        <w:tc>
          <w:tcPr>
            <w:tcW w:w="1172" w:type="dxa"/>
            <w:shd w:val="clear" w:color="auto" w:fill="auto"/>
          </w:tcPr>
          <w:p>
            <w:pPr>
              <w:rPr>
                <w:rFonts w:ascii="仿宋" w:hAnsi="仿宋" w:eastAsia="仿宋"/>
                <w:szCs w:val="21"/>
              </w:rPr>
            </w:pPr>
            <w:r>
              <w:rPr>
                <w:rFonts w:hint="eastAsia" w:ascii="仿宋" w:hAnsi="仿宋" w:eastAsia="仿宋"/>
                <w:szCs w:val="21"/>
              </w:rPr>
              <w:t>调研课次</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课次</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3262</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4299</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vAlign w:val="center"/>
          </w:tcPr>
          <w:p>
            <w:pPr>
              <w:jc w:val="cente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91.34</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93.64</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zCs w:val="21"/>
              </w:rPr>
            </w:pPr>
            <w:r>
              <w:rPr>
                <w:rFonts w:hint="eastAsia" w:ascii="仿宋" w:hAnsi="仿宋" w:eastAsia="仿宋"/>
                <w:szCs w:val="21"/>
              </w:rPr>
              <w:t>（3）专业课教学</w:t>
            </w:r>
          </w:p>
        </w:tc>
        <w:tc>
          <w:tcPr>
            <w:tcW w:w="1172" w:type="dxa"/>
            <w:shd w:val="clear" w:color="auto" w:fill="auto"/>
          </w:tcPr>
          <w:p>
            <w:pPr>
              <w:rPr>
                <w:rFonts w:ascii="仿宋" w:hAnsi="仿宋" w:eastAsia="仿宋"/>
                <w:szCs w:val="21"/>
              </w:rPr>
            </w:pPr>
            <w:r>
              <w:rPr>
                <w:rFonts w:hint="eastAsia" w:ascii="仿宋" w:hAnsi="仿宋" w:eastAsia="仿宋"/>
                <w:szCs w:val="21"/>
              </w:rPr>
              <w:t>调研课次</w:t>
            </w:r>
          </w:p>
        </w:tc>
        <w:tc>
          <w:tcPr>
            <w:tcW w:w="825" w:type="dxa"/>
            <w:shd w:val="clear" w:color="auto" w:fill="auto"/>
            <w:vAlign w:val="center"/>
          </w:tcPr>
          <w:p>
            <w:pPr>
              <w:jc w:val="center"/>
              <w:rPr>
                <w:rFonts w:ascii="仿宋" w:hAnsi="仿宋" w:eastAsia="仿宋"/>
                <w:b/>
                <w:szCs w:val="21"/>
              </w:rPr>
            </w:pPr>
            <w:r>
              <w:rPr>
                <w:rFonts w:hint="eastAsia" w:ascii="仿宋" w:hAnsi="仿宋" w:eastAsia="仿宋"/>
                <w:szCs w:val="21"/>
              </w:rPr>
              <w:t>课次</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4370</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6735</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tcPr>
          <w:p>
            <w:pP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95.20</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95.44</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restart"/>
            <w:shd w:val="clear" w:color="auto" w:fill="auto"/>
            <w:vAlign w:val="center"/>
          </w:tcPr>
          <w:p>
            <w:pPr>
              <w:jc w:val="center"/>
              <w:rPr>
                <w:rFonts w:ascii="仿宋" w:hAnsi="仿宋" w:eastAsia="仿宋"/>
                <w:szCs w:val="21"/>
              </w:rPr>
            </w:pPr>
            <w:r>
              <w:rPr>
                <w:rFonts w:hint="eastAsia" w:ascii="仿宋" w:hAnsi="仿宋" w:eastAsia="仿宋"/>
                <w:szCs w:val="21"/>
              </w:rPr>
              <w:t>4</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管理和服务工作满意度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zCs w:val="21"/>
              </w:rPr>
            </w:pPr>
            <w:r>
              <w:rPr>
                <w:rFonts w:hint="eastAsia" w:ascii="仿宋" w:hAnsi="仿宋" w:eastAsia="仿宋"/>
                <w:szCs w:val="21"/>
              </w:rPr>
              <w:t>（1）学生工作</w:t>
            </w:r>
          </w:p>
        </w:tc>
        <w:tc>
          <w:tcPr>
            <w:tcW w:w="1172" w:type="dxa"/>
            <w:shd w:val="clear" w:color="auto" w:fill="auto"/>
          </w:tcPr>
          <w:p>
            <w:pPr>
              <w:rPr>
                <w:rFonts w:ascii="仿宋" w:hAnsi="仿宋" w:eastAsia="仿宋"/>
                <w:szCs w:val="21"/>
              </w:rPr>
            </w:pPr>
            <w:r>
              <w:rPr>
                <w:rFonts w:hint="eastAsia" w:ascii="仿宋" w:hAnsi="仿宋" w:eastAsia="仿宋"/>
                <w:szCs w:val="21"/>
              </w:rPr>
              <w:t>调研人次</w:t>
            </w:r>
          </w:p>
        </w:tc>
        <w:tc>
          <w:tcPr>
            <w:tcW w:w="825" w:type="dxa"/>
            <w:shd w:val="clear" w:color="auto" w:fill="auto"/>
            <w:vAlign w:val="center"/>
          </w:tcPr>
          <w:p>
            <w:pPr>
              <w:jc w:val="center"/>
              <w:rPr>
                <w:rFonts w:ascii="仿宋" w:hAnsi="仿宋" w:eastAsia="仿宋"/>
                <w:szCs w:val="21"/>
              </w:rPr>
            </w:pPr>
            <w:r>
              <w:rPr>
                <w:rFonts w:ascii="仿宋" w:hAnsi="仿宋" w:eastAsia="仿宋"/>
                <w:szCs w:val="21"/>
              </w:rPr>
              <w:t>人次</w:t>
            </w:r>
          </w:p>
        </w:tc>
        <w:tc>
          <w:tcPr>
            <w:tcW w:w="961" w:type="dxa"/>
            <w:shd w:val="clear" w:color="auto" w:fill="auto"/>
          </w:tcPr>
          <w:p>
            <w:pPr>
              <w:jc w:val="center"/>
              <w:rPr>
                <w:rFonts w:ascii="仿宋" w:hAnsi="仿宋" w:eastAsia="仿宋"/>
                <w:szCs w:val="21"/>
              </w:rPr>
            </w:pPr>
            <w:r>
              <w:rPr>
                <w:rFonts w:hint="eastAsia" w:ascii="仿宋" w:hAnsi="仿宋" w:eastAsia="仿宋"/>
                <w:szCs w:val="21"/>
              </w:rPr>
              <w:t>17518</w:t>
            </w:r>
          </w:p>
        </w:tc>
        <w:tc>
          <w:tcPr>
            <w:tcW w:w="961" w:type="dxa"/>
            <w:shd w:val="clear" w:color="auto" w:fill="auto"/>
          </w:tcPr>
          <w:p>
            <w:pPr>
              <w:jc w:val="center"/>
              <w:rPr>
                <w:rFonts w:ascii="仿宋" w:hAnsi="仿宋" w:eastAsia="仿宋"/>
                <w:szCs w:val="21"/>
              </w:rPr>
            </w:pPr>
            <w:r>
              <w:rPr>
                <w:rFonts w:hint="eastAsia" w:ascii="仿宋" w:hAnsi="仿宋" w:eastAsia="仿宋"/>
                <w:szCs w:val="21"/>
              </w:rPr>
              <w:t>16438</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vAlign w:val="center"/>
          </w:tcPr>
          <w:p>
            <w:pPr>
              <w:jc w:val="cente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tcBorders>
              <w:bottom w:val="single" w:color="auto" w:sz="4" w:space="0"/>
            </w:tcBorders>
            <w:shd w:val="clear" w:color="auto" w:fill="auto"/>
          </w:tcPr>
          <w:p>
            <w:pPr>
              <w:jc w:val="center"/>
              <w:rPr>
                <w:rFonts w:ascii="仿宋" w:hAnsi="仿宋" w:eastAsia="仿宋"/>
                <w:szCs w:val="21"/>
              </w:rPr>
            </w:pPr>
            <w:r>
              <w:rPr>
                <w:rFonts w:hint="eastAsia" w:ascii="仿宋" w:hAnsi="仿宋" w:eastAsia="仿宋"/>
                <w:szCs w:val="21"/>
              </w:rPr>
              <w:t>94.74</w:t>
            </w:r>
          </w:p>
        </w:tc>
        <w:tc>
          <w:tcPr>
            <w:tcW w:w="961" w:type="dxa"/>
            <w:tcBorders>
              <w:bottom w:val="single" w:color="auto" w:sz="4" w:space="0"/>
            </w:tcBorders>
            <w:shd w:val="clear" w:color="auto" w:fill="auto"/>
          </w:tcPr>
          <w:p>
            <w:pPr>
              <w:jc w:val="center"/>
              <w:rPr>
                <w:rFonts w:ascii="仿宋" w:hAnsi="仿宋" w:eastAsia="仿宋"/>
                <w:szCs w:val="21"/>
              </w:rPr>
            </w:pPr>
            <w:r>
              <w:rPr>
                <w:rFonts w:hint="eastAsia" w:ascii="仿宋" w:hAnsi="仿宋" w:eastAsia="仿宋"/>
                <w:szCs w:val="21"/>
              </w:rPr>
              <w:t>92.38</w:t>
            </w:r>
          </w:p>
        </w:tc>
        <w:tc>
          <w:tcPr>
            <w:tcW w:w="959" w:type="dxa"/>
            <w:tcBorders>
              <w:bottom w:val="single" w:color="auto" w:sz="4" w:space="0"/>
            </w:tcBorders>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zCs w:val="21"/>
              </w:rPr>
            </w:pPr>
            <w:r>
              <w:rPr>
                <w:rFonts w:hint="eastAsia" w:ascii="仿宋" w:hAnsi="仿宋" w:eastAsia="仿宋"/>
                <w:szCs w:val="21"/>
              </w:rPr>
              <w:t>（2）教学管理</w:t>
            </w:r>
          </w:p>
        </w:tc>
        <w:tc>
          <w:tcPr>
            <w:tcW w:w="1172" w:type="dxa"/>
            <w:shd w:val="clear" w:color="auto" w:fill="auto"/>
          </w:tcPr>
          <w:p>
            <w:pPr>
              <w:rPr>
                <w:rFonts w:ascii="仿宋" w:hAnsi="仿宋" w:eastAsia="仿宋"/>
                <w:szCs w:val="21"/>
              </w:rPr>
            </w:pPr>
            <w:r>
              <w:rPr>
                <w:rFonts w:hint="eastAsia" w:ascii="仿宋" w:hAnsi="仿宋" w:eastAsia="仿宋"/>
                <w:szCs w:val="21"/>
              </w:rPr>
              <w:t>调研人次</w:t>
            </w:r>
          </w:p>
        </w:tc>
        <w:tc>
          <w:tcPr>
            <w:tcW w:w="825" w:type="dxa"/>
            <w:shd w:val="clear" w:color="auto" w:fill="auto"/>
            <w:vAlign w:val="center"/>
          </w:tcPr>
          <w:p>
            <w:pPr>
              <w:jc w:val="center"/>
              <w:rPr>
                <w:rFonts w:ascii="仿宋" w:hAnsi="仿宋" w:eastAsia="仿宋"/>
                <w:szCs w:val="21"/>
              </w:rPr>
            </w:pPr>
            <w:r>
              <w:rPr>
                <w:rFonts w:ascii="仿宋" w:hAnsi="仿宋" w:eastAsia="仿宋"/>
                <w:szCs w:val="21"/>
              </w:rPr>
              <w:t>人次</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15735</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27329</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vAlign w:val="center"/>
          </w:tcPr>
          <w:p>
            <w:pPr>
              <w:jc w:val="cente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tcBorders>
              <w:bottom w:val="single" w:color="auto" w:sz="4" w:space="0"/>
            </w:tcBorders>
            <w:shd w:val="clear" w:color="auto" w:fill="auto"/>
            <w:vAlign w:val="center"/>
          </w:tcPr>
          <w:p>
            <w:pPr>
              <w:jc w:val="center"/>
              <w:rPr>
                <w:rFonts w:ascii="仿宋" w:hAnsi="仿宋" w:eastAsia="仿宋"/>
                <w:szCs w:val="21"/>
              </w:rPr>
            </w:pPr>
            <w:r>
              <w:rPr>
                <w:rFonts w:hint="eastAsia" w:ascii="仿宋" w:hAnsi="仿宋" w:eastAsia="仿宋"/>
                <w:szCs w:val="21"/>
              </w:rPr>
              <w:t>90.28</w:t>
            </w:r>
          </w:p>
        </w:tc>
        <w:tc>
          <w:tcPr>
            <w:tcW w:w="961" w:type="dxa"/>
            <w:tcBorders>
              <w:bottom w:val="single" w:color="auto" w:sz="4" w:space="0"/>
            </w:tcBorders>
            <w:shd w:val="clear" w:color="auto" w:fill="auto"/>
            <w:vAlign w:val="center"/>
          </w:tcPr>
          <w:p>
            <w:pPr>
              <w:jc w:val="center"/>
              <w:rPr>
                <w:rFonts w:ascii="仿宋" w:hAnsi="仿宋" w:eastAsia="仿宋"/>
                <w:szCs w:val="21"/>
              </w:rPr>
            </w:pPr>
            <w:r>
              <w:rPr>
                <w:rFonts w:hint="eastAsia" w:ascii="仿宋" w:hAnsi="仿宋" w:eastAsia="仿宋"/>
                <w:szCs w:val="21"/>
              </w:rPr>
              <w:t>91.68</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restart"/>
            <w:shd w:val="clear" w:color="auto" w:fill="auto"/>
            <w:vAlign w:val="center"/>
          </w:tcPr>
          <w:p>
            <w:pPr>
              <w:rPr>
                <w:rFonts w:ascii="仿宋" w:hAnsi="仿宋" w:eastAsia="仿宋"/>
                <w:szCs w:val="21"/>
              </w:rPr>
            </w:pPr>
            <w:r>
              <w:rPr>
                <w:rFonts w:hint="eastAsia" w:ascii="仿宋" w:hAnsi="仿宋" w:eastAsia="仿宋"/>
                <w:szCs w:val="21"/>
              </w:rPr>
              <w:t>（3）后勤服务</w:t>
            </w:r>
          </w:p>
        </w:tc>
        <w:tc>
          <w:tcPr>
            <w:tcW w:w="1172" w:type="dxa"/>
            <w:shd w:val="clear" w:color="auto" w:fill="auto"/>
          </w:tcPr>
          <w:p>
            <w:pPr>
              <w:rPr>
                <w:rFonts w:ascii="仿宋" w:hAnsi="仿宋" w:eastAsia="仿宋"/>
                <w:szCs w:val="21"/>
              </w:rPr>
            </w:pPr>
            <w:r>
              <w:rPr>
                <w:rFonts w:hint="eastAsia" w:ascii="仿宋" w:hAnsi="仿宋" w:eastAsia="仿宋"/>
                <w:szCs w:val="21"/>
              </w:rPr>
              <w:t>调研人次</w:t>
            </w:r>
          </w:p>
        </w:tc>
        <w:tc>
          <w:tcPr>
            <w:tcW w:w="825" w:type="dxa"/>
            <w:shd w:val="clear" w:color="auto" w:fill="auto"/>
            <w:vAlign w:val="center"/>
          </w:tcPr>
          <w:p>
            <w:pPr>
              <w:jc w:val="center"/>
              <w:rPr>
                <w:rFonts w:ascii="仿宋" w:hAnsi="仿宋" w:eastAsia="仿宋"/>
                <w:szCs w:val="21"/>
              </w:rPr>
            </w:pPr>
            <w:r>
              <w:rPr>
                <w:rFonts w:ascii="仿宋" w:hAnsi="仿宋" w:eastAsia="仿宋"/>
                <w:szCs w:val="21"/>
              </w:rPr>
              <w:t>人次</w:t>
            </w:r>
          </w:p>
        </w:tc>
        <w:tc>
          <w:tcPr>
            <w:tcW w:w="961" w:type="dxa"/>
            <w:shd w:val="clear" w:color="auto" w:fill="auto"/>
          </w:tcPr>
          <w:p>
            <w:pPr>
              <w:jc w:val="center"/>
              <w:rPr>
                <w:rFonts w:ascii="仿宋" w:hAnsi="仿宋" w:eastAsia="仿宋"/>
                <w:szCs w:val="21"/>
              </w:rPr>
            </w:pPr>
            <w:r>
              <w:rPr>
                <w:rFonts w:hint="eastAsia" w:ascii="仿宋" w:hAnsi="仿宋" w:eastAsia="仿宋"/>
                <w:szCs w:val="21"/>
              </w:rPr>
              <w:t>220</w:t>
            </w:r>
          </w:p>
        </w:tc>
        <w:tc>
          <w:tcPr>
            <w:tcW w:w="961" w:type="dxa"/>
            <w:shd w:val="clear" w:color="auto" w:fill="auto"/>
          </w:tcPr>
          <w:p>
            <w:pPr>
              <w:jc w:val="center"/>
              <w:rPr>
                <w:rFonts w:ascii="仿宋" w:hAnsi="仿宋" w:eastAsia="仿宋"/>
                <w:szCs w:val="21"/>
              </w:rPr>
            </w:pPr>
            <w:r>
              <w:rPr>
                <w:rFonts w:hint="eastAsia" w:ascii="仿宋" w:hAnsi="仿宋" w:eastAsia="仿宋"/>
                <w:szCs w:val="21"/>
              </w:rPr>
              <w:t>84</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continue"/>
            <w:shd w:val="clear" w:color="auto" w:fill="auto"/>
            <w:vAlign w:val="center"/>
          </w:tcPr>
          <w:p>
            <w:pPr>
              <w:jc w:val="center"/>
              <w:rPr>
                <w:rFonts w:ascii="仿宋" w:hAnsi="仿宋" w:eastAsia="仿宋"/>
                <w:szCs w:val="21"/>
              </w:rPr>
            </w:pPr>
          </w:p>
        </w:tc>
        <w:tc>
          <w:tcPr>
            <w:tcW w:w="2268" w:type="dxa"/>
            <w:vMerge w:val="continue"/>
            <w:shd w:val="clear" w:color="auto" w:fill="auto"/>
          </w:tcPr>
          <w:p>
            <w:pPr>
              <w:rPr>
                <w:rFonts w:ascii="仿宋" w:hAnsi="仿宋" w:eastAsia="仿宋"/>
                <w:szCs w:val="21"/>
              </w:rPr>
            </w:pPr>
          </w:p>
        </w:tc>
        <w:tc>
          <w:tcPr>
            <w:tcW w:w="1172" w:type="dxa"/>
            <w:shd w:val="clear" w:color="auto" w:fill="auto"/>
          </w:tcPr>
          <w:p>
            <w:pPr>
              <w:rPr>
                <w:rFonts w:ascii="仿宋" w:hAnsi="仿宋" w:eastAsia="仿宋"/>
                <w:szCs w:val="21"/>
              </w:rPr>
            </w:pPr>
            <w:r>
              <w:rPr>
                <w:rFonts w:hint="eastAsia" w:ascii="仿宋" w:hAnsi="仿宋" w:eastAsia="仿宋"/>
                <w:szCs w:val="21"/>
              </w:rPr>
              <w:t>满意度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tcPr>
          <w:p>
            <w:pPr>
              <w:jc w:val="center"/>
              <w:rPr>
                <w:rFonts w:ascii="仿宋" w:hAnsi="仿宋" w:eastAsia="仿宋"/>
                <w:szCs w:val="21"/>
              </w:rPr>
            </w:pPr>
            <w:r>
              <w:rPr>
                <w:rFonts w:hint="eastAsia" w:ascii="仿宋" w:hAnsi="仿宋" w:eastAsia="仿宋"/>
                <w:szCs w:val="21"/>
              </w:rPr>
              <w:t>97</w:t>
            </w:r>
          </w:p>
        </w:tc>
        <w:tc>
          <w:tcPr>
            <w:tcW w:w="961" w:type="dxa"/>
            <w:shd w:val="clear" w:color="auto" w:fill="auto"/>
          </w:tcPr>
          <w:p>
            <w:pPr>
              <w:jc w:val="center"/>
              <w:rPr>
                <w:rFonts w:ascii="仿宋" w:hAnsi="仿宋" w:eastAsia="仿宋"/>
                <w:szCs w:val="21"/>
              </w:rPr>
            </w:pPr>
            <w:r>
              <w:rPr>
                <w:rFonts w:hint="eastAsia" w:ascii="仿宋" w:hAnsi="仿宋" w:eastAsia="仿宋"/>
                <w:szCs w:val="21"/>
              </w:rPr>
              <w:t>90</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shd w:val="clear" w:color="auto" w:fill="auto"/>
            <w:vAlign w:val="center"/>
          </w:tcPr>
          <w:p>
            <w:pPr>
              <w:jc w:val="center"/>
              <w:rPr>
                <w:rFonts w:ascii="仿宋" w:hAnsi="仿宋" w:eastAsia="仿宋"/>
                <w:szCs w:val="21"/>
              </w:rPr>
            </w:pPr>
            <w:r>
              <w:rPr>
                <w:rFonts w:hint="eastAsia" w:ascii="仿宋" w:hAnsi="仿宋" w:eastAsia="仿宋"/>
                <w:szCs w:val="21"/>
              </w:rPr>
              <w:t>5</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学生参与志愿者活动时间</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人日</w:t>
            </w:r>
          </w:p>
        </w:tc>
        <w:tc>
          <w:tcPr>
            <w:tcW w:w="961" w:type="dxa"/>
            <w:shd w:val="clear" w:color="auto" w:fill="auto"/>
          </w:tcPr>
          <w:p>
            <w:pPr>
              <w:jc w:val="center"/>
              <w:rPr>
                <w:rFonts w:ascii="仿宋" w:hAnsi="仿宋" w:eastAsia="仿宋"/>
                <w:szCs w:val="21"/>
              </w:rPr>
            </w:pPr>
            <w:r>
              <w:rPr>
                <w:rFonts w:hint="eastAsia" w:ascii="仿宋" w:hAnsi="仿宋" w:eastAsia="仿宋"/>
                <w:szCs w:val="21"/>
              </w:rPr>
              <w:t>2116</w:t>
            </w:r>
          </w:p>
        </w:tc>
        <w:tc>
          <w:tcPr>
            <w:tcW w:w="961" w:type="dxa"/>
            <w:shd w:val="clear" w:color="auto" w:fill="auto"/>
          </w:tcPr>
          <w:p>
            <w:pPr>
              <w:jc w:val="center"/>
              <w:rPr>
                <w:rFonts w:ascii="仿宋" w:hAnsi="仿宋" w:eastAsia="仿宋"/>
                <w:szCs w:val="21"/>
              </w:rPr>
            </w:pPr>
            <w:r>
              <w:rPr>
                <w:rFonts w:hint="eastAsia" w:ascii="仿宋" w:hAnsi="仿宋" w:eastAsia="仿宋"/>
                <w:szCs w:val="21"/>
              </w:rPr>
              <w:t>6420</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jc w:val="center"/>
              <w:rPr>
                <w:rFonts w:ascii="仿宋" w:hAnsi="仿宋" w:eastAsia="仿宋"/>
                <w:szCs w:val="21"/>
              </w:rPr>
            </w:pPr>
          </w:p>
        </w:tc>
        <w:tc>
          <w:tcPr>
            <w:tcW w:w="672" w:type="dxa"/>
            <w:vMerge w:val="continue"/>
            <w:shd w:val="clear" w:color="auto" w:fill="auto"/>
          </w:tcPr>
          <w:p>
            <w:pPr>
              <w:jc w:val="center"/>
              <w:rPr>
                <w:rFonts w:ascii="仿宋" w:hAnsi="仿宋" w:eastAsia="仿宋"/>
                <w:szCs w:val="21"/>
              </w:rPr>
            </w:pPr>
          </w:p>
        </w:tc>
        <w:tc>
          <w:tcPr>
            <w:tcW w:w="425" w:type="dxa"/>
            <w:vMerge w:val="restart"/>
            <w:shd w:val="clear" w:color="auto" w:fill="auto"/>
            <w:vAlign w:val="center"/>
          </w:tcPr>
          <w:p>
            <w:pPr>
              <w:jc w:val="center"/>
              <w:rPr>
                <w:rFonts w:ascii="仿宋" w:hAnsi="仿宋" w:eastAsia="仿宋"/>
                <w:szCs w:val="21"/>
              </w:rPr>
            </w:pPr>
            <w:r>
              <w:rPr>
                <w:rFonts w:hint="eastAsia" w:ascii="仿宋" w:hAnsi="仿宋" w:eastAsia="仿宋"/>
                <w:szCs w:val="21"/>
              </w:rPr>
              <w:t>6</w:t>
            </w:r>
          </w:p>
        </w:tc>
        <w:tc>
          <w:tcPr>
            <w:tcW w:w="3440" w:type="dxa"/>
            <w:gridSpan w:val="2"/>
            <w:shd w:val="clear" w:color="auto" w:fill="auto"/>
          </w:tcPr>
          <w:p>
            <w:pPr>
              <w:rPr>
                <w:rFonts w:ascii="仿宋" w:hAnsi="仿宋" w:eastAsia="仿宋"/>
                <w:szCs w:val="21"/>
              </w:rPr>
            </w:pPr>
            <w:r>
              <w:rPr>
                <w:rFonts w:hint="eastAsia" w:ascii="仿宋" w:hAnsi="仿宋" w:eastAsia="仿宋"/>
                <w:szCs w:val="21"/>
              </w:rPr>
              <w:t>学生社团参与度</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tcPr>
          <w:p>
            <w:pPr>
              <w:jc w:val="center"/>
              <w:rPr>
                <w:rFonts w:ascii="仿宋" w:hAnsi="仿宋" w:eastAsia="仿宋"/>
                <w:szCs w:val="21"/>
              </w:rPr>
            </w:pPr>
            <w:r>
              <w:rPr>
                <w:rFonts w:hint="eastAsia" w:ascii="仿宋" w:hAnsi="仿宋" w:eastAsia="仿宋"/>
                <w:szCs w:val="21"/>
              </w:rPr>
              <w:t>—</w:t>
            </w:r>
          </w:p>
        </w:tc>
        <w:tc>
          <w:tcPr>
            <w:tcW w:w="961" w:type="dxa"/>
            <w:shd w:val="clear" w:color="auto" w:fill="auto"/>
          </w:tcPr>
          <w:p>
            <w:pPr>
              <w:jc w:val="center"/>
              <w:rPr>
                <w:rFonts w:ascii="仿宋" w:hAnsi="仿宋" w:eastAsia="仿宋"/>
                <w:szCs w:val="21"/>
              </w:rPr>
            </w:pPr>
            <w:r>
              <w:rPr>
                <w:rFonts w:hint="eastAsia" w:ascii="仿宋" w:hAnsi="仿宋" w:eastAsia="仿宋"/>
                <w:szCs w:val="21"/>
              </w:rPr>
              <w:t>—</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rPr>
                <w:rFonts w:ascii="仿宋" w:hAnsi="仿宋" w:eastAsia="仿宋"/>
                <w:szCs w:val="21"/>
              </w:rPr>
            </w:pPr>
          </w:p>
        </w:tc>
        <w:tc>
          <w:tcPr>
            <w:tcW w:w="672" w:type="dxa"/>
            <w:vMerge w:val="continue"/>
            <w:shd w:val="clear" w:color="auto" w:fill="auto"/>
          </w:tcPr>
          <w:p>
            <w:pPr>
              <w:rPr>
                <w:rFonts w:ascii="仿宋" w:hAnsi="仿宋" w:eastAsia="仿宋"/>
                <w:szCs w:val="21"/>
              </w:rPr>
            </w:pPr>
          </w:p>
        </w:tc>
        <w:tc>
          <w:tcPr>
            <w:tcW w:w="425" w:type="dxa"/>
            <w:vMerge w:val="continue"/>
            <w:shd w:val="clear" w:color="auto" w:fill="auto"/>
          </w:tcPr>
          <w:p>
            <w:pPr>
              <w:rPr>
                <w:rFonts w:ascii="仿宋" w:hAnsi="仿宋" w:eastAsia="仿宋"/>
                <w:szCs w:val="21"/>
              </w:rPr>
            </w:pPr>
          </w:p>
        </w:tc>
        <w:tc>
          <w:tcPr>
            <w:tcW w:w="3440" w:type="dxa"/>
            <w:gridSpan w:val="2"/>
            <w:shd w:val="clear" w:color="auto" w:fill="auto"/>
          </w:tcPr>
          <w:p>
            <w:pPr>
              <w:rPr>
                <w:rFonts w:ascii="仿宋" w:hAnsi="仿宋" w:eastAsia="仿宋"/>
                <w:szCs w:val="21"/>
              </w:rPr>
            </w:pPr>
            <w:r>
              <w:rPr>
                <w:rFonts w:hint="eastAsia" w:ascii="仿宋" w:hAnsi="仿宋" w:eastAsia="仿宋"/>
                <w:szCs w:val="21"/>
              </w:rPr>
              <w:t>（1）学生社团数</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个</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52</w:t>
            </w:r>
          </w:p>
        </w:tc>
        <w:tc>
          <w:tcPr>
            <w:tcW w:w="961" w:type="dxa"/>
            <w:shd w:val="clear" w:color="auto" w:fill="auto"/>
          </w:tcPr>
          <w:p>
            <w:pPr>
              <w:jc w:val="center"/>
              <w:rPr>
                <w:rFonts w:ascii="仿宋" w:hAnsi="仿宋" w:eastAsia="仿宋"/>
                <w:szCs w:val="21"/>
              </w:rPr>
            </w:pPr>
            <w:r>
              <w:rPr>
                <w:rFonts w:hint="eastAsia" w:ascii="仿宋" w:hAnsi="仿宋" w:eastAsia="仿宋"/>
                <w:szCs w:val="21"/>
              </w:rPr>
              <w:t>52</w:t>
            </w:r>
          </w:p>
        </w:tc>
        <w:tc>
          <w:tcPr>
            <w:tcW w:w="959" w:type="dxa"/>
            <w:shd w:val="clear" w:color="auto" w:fill="auto"/>
          </w:tcPr>
          <w:p>
            <w:pP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shd w:val="clear" w:color="auto" w:fill="auto"/>
          </w:tcPr>
          <w:p>
            <w:pPr>
              <w:rPr>
                <w:rFonts w:ascii="仿宋" w:hAnsi="仿宋" w:eastAsia="仿宋"/>
                <w:szCs w:val="21"/>
              </w:rPr>
            </w:pPr>
          </w:p>
        </w:tc>
        <w:tc>
          <w:tcPr>
            <w:tcW w:w="672" w:type="dxa"/>
            <w:vMerge w:val="continue"/>
            <w:shd w:val="clear" w:color="auto" w:fill="auto"/>
          </w:tcPr>
          <w:p>
            <w:pPr>
              <w:rPr>
                <w:rFonts w:ascii="仿宋" w:hAnsi="仿宋" w:eastAsia="仿宋"/>
                <w:szCs w:val="21"/>
              </w:rPr>
            </w:pPr>
          </w:p>
        </w:tc>
        <w:tc>
          <w:tcPr>
            <w:tcW w:w="425" w:type="dxa"/>
            <w:vMerge w:val="continue"/>
            <w:shd w:val="clear" w:color="auto" w:fill="auto"/>
          </w:tcPr>
          <w:p>
            <w:pPr>
              <w:rPr>
                <w:rFonts w:ascii="仿宋" w:hAnsi="仿宋" w:eastAsia="仿宋"/>
                <w:szCs w:val="21"/>
              </w:rPr>
            </w:pPr>
          </w:p>
        </w:tc>
        <w:tc>
          <w:tcPr>
            <w:tcW w:w="3440" w:type="dxa"/>
            <w:gridSpan w:val="2"/>
            <w:shd w:val="clear" w:color="auto" w:fill="auto"/>
            <w:vAlign w:val="center"/>
          </w:tcPr>
          <w:p>
            <w:pPr>
              <w:rPr>
                <w:rFonts w:ascii="仿宋" w:hAnsi="仿宋" w:eastAsia="仿宋"/>
                <w:szCs w:val="21"/>
              </w:rPr>
            </w:pPr>
            <w:r>
              <w:rPr>
                <w:rFonts w:hint="eastAsia" w:ascii="仿宋" w:hAnsi="仿宋" w:eastAsia="仿宋"/>
                <w:szCs w:val="21"/>
              </w:rPr>
              <w:t>（2）参与各社团的学生人数</w:t>
            </w:r>
          </w:p>
        </w:tc>
        <w:tc>
          <w:tcPr>
            <w:tcW w:w="825" w:type="dxa"/>
            <w:shd w:val="clear" w:color="auto" w:fill="auto"/>
            <w:vAlign w:val="center"/>
          </w:tcPr>
          <w:p>
            <w:pPr>
              <w:jc w:val="center"/>
              <w:rPr>
                <w:rFonts w:ascii="仿宋" w:hAnsi="仿宋" w:eastAsia="仿宋"/>
                <w:szCs w:val="21"/>
              </w:rPr>
            </w:pPr>
            <w:r>
              <w:rPr>
                <w:rFonts w:hint="eastAsia" w:ascii="仿宋" w:hAnsi="仿宋" w:eastAsia="仿宋"/>
                <w:szCs w:val="21"/>
              </w:rPr>
              <w:t>人</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2009</w:t>
            </w:r>
          </w:p>
        </w:tc>
        <w:tc>
          <w:tcPr>
            <w:tcW w:w="961" w:type="dxa"/>
            <w:shd w:val="clear" w:color="auto" w:fill="auto"/>
            <w:vAlign w:val="center"/>
          </w:tcPr>
          <w:p>
            <w:pPr>
              <w:jc w:val="center"/>
              <w:rPr>
                <w:rFonts w:ascii="仿宋" w:hAnsi="仿宋" w:eastAsia="仿宋"/>
                <w:szCs w:val="21"/>
              </w:rPr>
            </w:pPr>
            <w:r>
              <w:rPr>
                <w:rFonts w:hint="eastAsia" w:ascii="仿宋" w:hAnsi="仿宋" w:eastAsia="仿宋"/>
                <w:szCs w:val="21"/>
              </w:rPr>
              <w:t>1443</w:t>
            </w:r>
          </w:p>
        </w:tc>
        <w:tc>
          <w:tcPr>
            <w:tcW w:w="959" w:type="dxa"/>
            <w:shd w:val="clear" w:color="auto" w:fill="auto"/>
          </w:tcPr>
          <w:p>
            <w:pPr>
              <w:rPr>
                <w:rFonts w:ascii="仿宋" w:hAnsi="仿宋" w:eastAsia="仿宋"/>
                <w:szCs w:val="21"/>
              </w:rPr>
            </w:pPr>
            <w:r>
              <w:rPr>
                <w:rFonts w:hint="eastAsia" w:ascii="仿宋" w:hAnsi="仿宋" w:eastAsia="仿宋"/>
                <w:szCs w:val="21"/>
              </w:rPr>
              <w:t>指分别参与不同社团活动的人数，须逐一列出。见附件</w:t>
            </w:r>
          </w:p>
        </w:tc>
      </w:tr>
    </w:tbl>
    <w:p>
      <w:pPr>
        <w:rPr>
          <w:rFonts w:ascii="仿宋" w:hAnsi="仿宋" w:eastAsia="仿宋"/>
          <w:b/>
          <w:sz w:val="24"/>
        </w:rPr>
      </w:pPr>
      <w:r>
        <w:rPr>
          <w:rFonts w:hint="eastAsia" w:ascii="仿宋" w:hAnsi="仿宋" w:eastAsia="仿宋"/>
          <w:b/>
          <w:sz w:val="24"/>
        </w:rPr>
        <w:t>附件：</w:t>
      </w:r>
    </w:p>
    <w:p>
      <w:pPr>
        <w:jc w:val="center"/>
        <w:rPr>
          <w:rFonts w:ascii="仿宋" w:hAnsi="仿宋" w:eastAsia="仿宋"/>
          <w:b/>
          <w:szCs w:val="21"/>
        </w:rPr>
      </w:pPr>
      <w:r>
        <w:rPr>
          <w:rFonts w:hint="eastAsia" w:ascii="仿宋" w:hAnsi="仿宋" w:eastAsia="仿宋"/>
          <w:b/>
          <w:szCs w:val="21"/>
        </w:rPr>
        <w:t>2018年社团活动统计表（单位：人次）</w:t>
      </w:r>
    </w:p>
    <w:tbl>
      <w:tblPr>
        <w:tblStyle w:val="19"/>
        <w:tblW w:w="8359" w:type="dxa"/>
        <w:tblInd w:w="0" w:type="dxa"/>
        <w:tblLayout w:type="fixed"/>
        <w:tblCellMar>
          <w:top w:w="15" w:type="dxa"/>
          <w:left w:w="15" w:type="dxa"/>
          <w:bottom w:w="15" w:type="dxa"/>
          <w:right w:w="15" w:type="dxa"/>
        </w:tblCellMar>
      </w:tblPr>
      <w:tblGrid>
        <w:gridCol w:w="883"/>
        <w:gridCol w:w="3150"/>
        <w:gridCol w:w="1725"/>
        <w:gridCol w:w="1320"/>
        <w:gridCol w:w="1281"/>
      </w:tblGrid>
      <w:tr>
        <w:tblPrEx>
          <w:tblLayout w:type="fixed"/>
          <w:tblCellMar>
            <w:top w:w="15" w:type="dxa"/>
            <w:left w:w="15" w:type="dxa"/>
            <w:bottom w:w="15" w:type="dxa"/>
            <w:right w:w="15" w:type="dxa"/>
          </w:tblCellMar>
        </w:tblPrEx>
        <w:trPr>
          <w:trHeight w:val="450" w:hRule="atLeast"/>
        </w:trPr>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b/>
                <w:sz w:val="18"/>
                <w:szCs w:val="18"/>
              </w:rPr>
            </w:pPr>
            <w:r>
              <w:rPr>
                <w:rFonts w:hint="eastAsia" w:ascii="仿宋" w:hAnsi="仿宋" w:eastAsia="仿宋" w:cs="宋体"/>
                <w:b/>
                <w:kern w:val="0"/>
                <w:sz w:val="18"/>
                <w:szCs w:val="18"/>
              </w:rPr>
              <w:t>序号</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b/>
                <w:sz w:val="18"/>
                <w:szCs w:val="18"/>
              </w:rPr>
            </w:pPr>
            <w:r>
              <w:rPr>
                <w:rFonts w:hint="eastAsia" w:ascii="仿宋" w:hAnsi="仿宋" w:eastAsia="仿宋" w:cs="宋体"/>
                <w:b/>
                <w:kern w:val="0"/>
                <w:sz w:val="18"/>
                <w:szCs w:val="18"/>
              </w:rPr>
              <w:t>活动名称</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b/>
                <w:sz w:val="18"/>
                <w:szCs w:val="18"/>
              </w:rPr>
            </w:pPr>
            <w:r>
              <w:rPr>
                <w:rFonts w:hint="eastAsia" w:ascii="仿宋" w:hAnsi="仿宋" w:eastAsia="仿宋" w:cs="宋体"/>
                <w:b/>
                <w:kern w:val="0"/>
                <w:sz w:val="18"/>
                <w:szCs w:val="18"/>
              </w:rPr>
              <w:t>举办协会</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b/>
                <w:sz w:val="18"/>
                <w:szCs w:val="18"/>
              </w:rPr>
            </w:pPr>
            <w:r>
              <w:rPr>
                <w:rFonts w:hint="eastAsia" w:ascii="仿宋" w:hAnsi="仿宋" w:eastAsia="仿宋" w:cs="宋体"/>
                <w:b/>
                <w:kern w:val="0"/>
                <w:sz w:val="18"/>
                <w:szCs w:val="18"/>
              </w:rPr>
              <w:t>参与人数</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宋体"/>
                <w:b/>
                <w:sz w:val="18"/>
                <w:szCs w:val="18"/>
              </w:rPr>
            </w:pPr>
            <w:r>
              <w:rPr>
                <w:rFonts w:hint="eastAsia" w:ascii="仿宋" w:hAnsi="仿宋" w:eastAsia="仿宋" w:cs="宋体"/>
                <w:b/>
                <w:kern w:val="0"/>
                <w:sz w:val="18"/>
                <w:szCs w:val="18"/>
              </w:rPr>
              <w:t>参与度（%）</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法制朗诵</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法律协会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24</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洛带法律远足</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民法知识讲座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60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法律征文</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法律知识竞赛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800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寻找财院最美</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爱心社</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 巾帼心向党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跆拳道知识竞赛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跆拳道协会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游园会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社团开幕式</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拉丁舞协会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9</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 闭幕式</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9</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模拟炒股大赛</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理财协会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英语口语技能大赛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英语协会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240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英语书法比赛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600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英语情景剧</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英语四级讲座</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500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最佳声搭档</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音乐协会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暖冬送爱心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会青年求实协</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400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19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写出你的思政心</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爱心午餐</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移动商务知识竞赛</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移动商务协会  </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180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党在我心中演讲比赛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演讲与口才协会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64</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立志为党添光辉演讲比赛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52</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33"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 蚂蚁庄园献爱心活动</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爱心社</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全院</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33"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养老中心关爱老人活动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33"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协助创新创业协会举办免费午餐活动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全院</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33"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清明成都烈士陵园扫墓活动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28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足球比赛</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足球协会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41</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2017届双选会</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创新创业协会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第二届创新创业创意大赛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免费午餐</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校外实践基地揭牌仪式</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东进杯创新创业大赛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订单班成立</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创青春大赛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36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大学生心理情景剧大赛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阳光心理协会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37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《我的大学》心里漫画</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5.25心理健康活动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39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趣味数学对抗赛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《窗》文学社</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415</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大美四川征稿</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四川省文学高校发展峰会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50期窗刊征发</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400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第一届诗词大赛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80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慢生活照片征集</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南边文艺杯征稿</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51期窗刊征稿</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400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47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会计知识竞赛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众锦会计协会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48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你画我猜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49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游园会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高校书法联展</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书法协会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汉字听写大会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书法技能大赛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 文理杯大学生书画技能大赛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系篮球赛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篮球协会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院篮球赛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闭幕式表演  </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健美操协会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18</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数学知识竞赛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数学建模协会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游园会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59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游园会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索玛花协会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104</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彝历新年</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82</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迎新晚会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社团活动周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113</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闭幕式表演</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上半年电脑知识竞赛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电脑协会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86</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下半年电脑知识竞赛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94</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个人简历比赛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135</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网球趣味活动</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网球协会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80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纳税申报技能大赛</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税收协会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123</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69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税收活动周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166</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市场营销itmc沙盘技能大赛</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r>
              <w:rPr>
                <w:rFonts w:hint="eastAsia" w:ascii="仿宋" w:hAnsi="仿宋" w:eastAsia="仿宋" w:cs="宋体"/>
                <w:sz w:val="18"/>
                <w:szCs w:val="18"/>
              </w:rPr>
              <w:t>市场营销协会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35</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48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互联网知识竞赛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电子商务协会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500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游园会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289</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快闪</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街舞协会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40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工商银行王者荣耀嘉年华</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异邦动漫社</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纸牌活动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社团聚餐</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450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观看电影烟花</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250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第11届羽毛球挑战赛   </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羽毛球协会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363</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615"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79</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百科知识竞赛  </w:t>
            </w:r>
          </w:p>
        </w:tc>
        <w:tc>
          <w:tcPr>
            <w:tcW w:w="17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竭诚财审协会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70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80</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乒乓球比赛 </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乒乓球协会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110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81</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 xml:space="preserve">游园会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80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63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82</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形色映像摄影展</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摄影协会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200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415"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83</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摄影基础讲座</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84</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永辉超市宣讲会</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仿宋" w:hAnsi="仿宋" w:eastAsia="仿宋" w:cs="宋体"/>
                <w:sz w:val="18"/>
                <w:szCs w:val="18"/>
              </w:rPr>
            </w:pPr>
            <w:r>
              <w:rPr>
                <w:rFonts w:hint="eastAsia" w:ascii="仿宋" w:hAnsi="仿宋" w:eastAsia="仿宋" w:cs="宋体"/>
                <w:kern w:val="0"/>
                <w:sz w:val="18"/>
                <w:szCs w:val="18"/>
              </w:rPr>
              <w:t>校企合作协会</w:t>
            </w: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80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85</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好利来宣讲会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70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r>
        <w:tblPrEx>
          <w:tblLayout w:type="fixed"/>
          <w:tblCellMar>
            <w:top w:w="15" w:type="dxa"/>
            <w:left w:w="15" w:type="dxa"/>
            <w:bottom w:w="15" w:type="dxa"/>
            <w:right w:w="15" w:type="dxa"/>
          </w:tblCellMar>
        </w:tblPrEx>
        <w:trPr>
          <w:trHeight w:val="360" w:hRule="atLeast"/>
        </w:trPr>
        <w:tc>
          <w:tcPr>
            <w:tcW w:w="8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color w:val="000000"/>
                <w:sz w:val="18"/>
                <w:szCs w:val="18"/>
              </w:rPr>
            </w:pPr>
            <w:r>
              <w:rPr>
                <w:rFonts w:hint="eastAsia" w:ascii="仿宋" w:hAnsi="仿宋" w:eastAsia="仿宋" w:cs="宋体"/>
                <w:color w:val="000000"/>
                <w:kern w:val="0"/>
                <w:sz w:val="18"/>
                <w:szCs w:val="18"/>
              </w:rPr>
              <w:t>86</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校企文化标语竞赛</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仿宋" w:hAnsi="仿宋" w:eastAsia="仿宋" w:cs="宋体"/>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c>
          <w:tcPr>
            <w:tcW w:w="12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宋体"/>
                <w:sz w:val="18"/>
                <w:szCs w:val="18"/>
              </w:rPr>
            </w:pPr>
            <w:r>
              <w:rPr>
                <w:rFonts w:hint="eastAsia" w:ascii="仿宋" w:hAnsi="仿宋" w:eastAsia="仿宋" w:cs="宋体"/>
                <w:kern w:val="0"/>
                <w:sz w:val="18"/>
                <w:szCs w:val="18"/>
              </w:rPr>
              <w:t>100%</w:t>
            </w:r>
          </w:p>
        </w:tc>
      </w:tr>
    </w:tbl>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p>
      <w:pPr>
        <w:spacing w:after="156" w:afterLines="50" w:line="560" w:lineRule="exact"/>
        <w:jc w:val="center"/>
        <w:rPr>
          <w:rFonts w:ascii="仿宋" w:hAnsi="仿宋" w:eastAsia="仿宋"/>
          <w:b/>
          <w:szCs w:val="21"/>
        </w:rPr>
      </w:pPr>
    </w:p>
    <w:tbl>
      <w:tblPr>
        <w:tblStyle w:val="19"/>
        <w:tblpPr w:leftFromText="180" w:rightFromText="180" w:vertAnchor="page" w:horzAnchor="margin" w:tblpY="22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33"/>
        <w:gridCol w:w="414"/>
        <w:gridCol w:w="2892"/>
        <w:gridCol w:w="994"/>
        <w:gridCol w:w="127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shd w:val="clear" w:color="000000" w:fill="FFFFFF"/>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院校代码</w:t>
            </w:r>
          </w:p>
        </w:tc>
        <w:tc>
          <w:tcPr>
            <w:tcW w:w="833" w:type="dxa"/>
            <w:shd w:val="clear" w:color="000000" w:fill="FFFFFF"/>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院校名称</w:t>
            </w:r>
          </w:p>
        </w:tc>
        <w:tc>
          <w:tcPr>
            <w:tcW w:w="3306" w:type="dxa"/>
            <w:gridSpan w:val="2"/>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指标</w:t>
            </w:r>
          </w:p>
        </w:tc>
        <w:tc>
          <w:tcPr>
            <w:tcW w:w="994"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1278"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2017年</w:t>
            </w:r>
          </w:p>
        </w:tc>
        <w:tc>
          <w:tcPr>
            <w:tcW w:w="1316"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restart"/>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14091</w:t>
            </w:r>
          </w:p>
        </w:tc>
        <w:tc>
          <w:tcPr>
            <w:tcW w:w="833" w:type="dxa"/>
            <w:vMerge w:val="restart"/>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生师比</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15.25</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双师素质专任教师比例</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62.92</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60.41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生均教学科研仪器设备值</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元/生</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8957.17</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6879.85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生均教学及辅助、行政办公用房面积</w:t>
            </w:r>
          </w:p>
        </w:tc>
        <w:tc>
          <w:tcPr>
            <w:tcW w:w="994" w:type="dxa"/>
            <w:shd w:val="clear" w:color="000000" w:fill="FFFFFF"/>
            <w:vAlign w:val="center"/>
          </w:tcPr>
          <w:p>
            <w:pPr>
              <w:widowControl/>
              <w:jc w:val="center"/>
              <w:rPr>
                <w:rFonts w:ascii="仿宋" w:hAnsi="仿宋" w:eastAsia="仿宋" w:cs="宋体"/>
                <w:kern w:val="0"/>
                <w:szCs w:val="21"/>
                <w:vertAlign w:val="superscript"/>
              </w:rPr>
            </w:pPr>
            <w:r>
              <w:rPr>
                <w:rFonts w:hint="eastAsia" w:ascii="仿宋" w:hAnsi="仿宋" w:eastAsia="仿宋" w:cs="宋体"/>
                <w:kern w:val="0"/>
                <w:szCs w:val="21"/>
              </w:rPr>
              <w:t>m</w:t>
            </w:r>
            <w:r>
              <w:rPr>
                <w:rFonts w:hint="eastAsia" w:ascii="仿宋" w:hAnsi="仿宋" w:eastAsia="仿宋" w:cs="宋体"/>
                <w:kern w:val="0"/>
                <w:szCs w:val="21"/>
                <w:vertAlign w:val="superscript"/>
              </w:rPr>
              <w:t>2</w:t>
            </w:r>
            <w:r>
              <w:rPr>
                <w:rFonts w:hint="eastAsia" w:ascii="仿宋" w:hAnsi="仿宋" w:eastAsia="仿宋" w:cs="宋体"/>
                <w:kern w:val="0"/>
                <w:szCs w:val="21"/>
              </w:rPr>
              <w:t>/生</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10.09</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生均校内实践教学工位数</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个/生</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46.44</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44.49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校园网主干最大带宽</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Mbps</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10000</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tcPr>
          <w:p>
            <w:pPr>
              <w:widowControl/>
              <w:jc w:val="left"/>
              <w:rPr>
                <w:rFonts w:ascii="仿宋" w:hAnsi="仿宋" w:eastAsia="仿宋" w:cs="宋体"/>
                <w:kern w:val="0"/>
                <w:szCs w:val="21"/>
              </w:rPr>
            </w:pPr>
          </w:p>
        </w:tc>
        <w:tc>
          <w:tcPr>
            <w:tcW w:w="833" w:type="dxa"/>
            <w:vMerge w:val="continue"/>
          </w:tcPr>
          <w:p>
            <w:pPr>
              <w:widowControl/>
              <w:jc w:val="left"/>
              <w:rPr>
                <w:rFonts w:ascii="仿宋" w:hAnsi="仿宋" w:eastAsia="仿宋" w:cs="宋体"/>
                <w:kern w:val="0"/>
                <w:szCs w:val="21"/>
              </w:rPr>
            </w:pPr>
          </w:p>
        </w:tc>
        <w:tc>
          <w:tcPr>
            <w:tcW w:w="414"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2892"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教学计划内课程总数</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门</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637</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shd w:val="clear" w:color="auto" w:fill="auto"/>
          </w:tcPr>
          <w:p>
            <w:pPr>
              <w:widowControl/>
              <w:jc w:val="left"/>
              <w:rPr>
                <w:rFonts w:ascii="仿宋" w:hAnsi="仿宋" w:eastAsia="仿宋" w:cs="宋体"/>
                <w:kern w:val="0"/>
                <w:szCs w:val="21"/>
              </w:rPr>
            </w:pPr>
          </w:p>
        </w:tc>
        <w:tc>
          <w:tcPr>
            <w:tcW w:w="833" w:type="dxa"/>
            <w:vMerge w:val="continue"/>
            <w:shd w:val="clear" w:color="auto" w:fill="auto"/>
          </w:tcPr>
          <w:p>
            <w:pPr>
              <w:widowControl/>
              <w:jc w:val="left"/>
              <w:rPr>
                <w:rFonts w:ascii="仿宋" w:hAnsi="仿宋" w:eastAsia="仿宋" w:cs="宋体"/>
                <w:kern w:val="0"/>
                <w:szCs w:val="21"/>
              </w:rPr>
            </w:pPr>
          </w:p>
        </w:tc>
        <w:tc>
          <w:tcPr>
            <w:tcW w:w="414" w:type="dxa"/>
            <w:vMerge w:val="continue"/>
            <w:shd w:val="clear" w:color="000000" w:fill="FFFFFF"/>
            <w:vAlign w:val="center"/>
          </w:tcPr>
          <w:p>
            <w:pPr>
              <w:widowControl/>
              <w:jc w:val="center"/>
              <w:rPr>
                <w:rFonts w:ascii="仿宋" w:hAnsi="仿宋" w:eastAsia="仿宋" w:cs="宋体"/>
                <w:kern w:val="0"/>
                <w:szCs w:val="21"/>
              </w:rPr>
            </w:pPr>
          </w:p>
        </w:tc>
        <w:tc>
          <w:tcPr>
            <w:tcW w:w="2892"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其中：线上开设课程数</w:t>
            </w:r>
          </w:p>
        </w:tc>
        <w:tc>
          <w:tcPr>
            <w:tcW w:w="99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门</w:t>
            </w:r>
          </w:p>
        </w:tc>
        <w:tc>
          <w:tcPr>
            <w:tcW w:w="1278"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84</w:t>
            </w:r>
          </w:p>
        </w:tc>
        <w:tc>
          <w:tcPr>
            <w:tcW w:w="1316" w:type="dxa"/>
            <w:shd w:val="clear" w:color="000000" w:fill="FFFFFF"/>
            <w:vAlign w:val="center"/>
          </w:tcPr>
          <w:p>
            <w:pPr>
              <w:widowControl/>
              <w:rPr>
                <w:rFonts w:ascii="仿宋" w:hAnsi="仿宋" w:eastAsia="仿宋" w:cs="宋体"/>
                <w:kern w:val="0"/>
                <w:szCs w:val="21"/>
              </w:rPr>
            </w:pPr>
            <w:r>
              <w:rPr>
                <w:rFonts w:ascii="仿宋" w:hAnsi="仿宋" w:eastAsia="仿宋" w:cs="宋体"/>
                <w:kern w:val="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5" w:type="dxa"/>
            <w:vMerge w:val="continue"/>
            <w:shd w:val="clear" w:color="auto" w:fill="auto"/>
          </w:tcPr>
          <w:p>
            <w:pPr>
              <w:widowControl/>
              <w:jc w:val="left"/>
              <w:rPr>
                <w:rFonts w:ascii="仿宋" w:hAnsi="仿宋" w:eastAsia="仿宋" w:cs="宋体"/>
                <w:kern w:val="0"/>
                <w:szCs w:val="21"/>
              </w:rPr>
            </w:pPr>
          </w:p>
        </w:tc>
        <w:tc>
          <w:tcPr>
            <w:tcW w:w="833" w:type="dxa"/>
            <w:vMerge w:val="continue"/>
            <w:shd w:val="clear" w:color="auto" w:fill="auto"/>
          </w:tcPr>
          <w:p>
            <w:pPr>
              <w:widowControl/>
              <w:jc w:val="left"/>
              <w:rPr>
                <w:rFonts w:ascii="仿宋" w:hAnsi="仿宋" w:eastAsia="仿宋" w:cs="宋体"/>
                <w:kern w:val="0"/>
                <w:szCs w:val="21"/>
              </w:rPr>
            </w:pPr>
          </w:p>
        </w:tc>
        <w:tc>
          <w:tcPr>
            <w:tcW w:w="6894" w:type="dxa"/>
            <w:gridSpan w:val="5"/>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学校类别（单选）：综合、师范、民族院校（）</w:t>
            </w:r>
          </w:p>
          <w:p>
            <w:pPr>
              <w:widowControl/>
              <w:ind w:firstLine="1890" w:firstLineChars="900"/>
              <w:jc w:val="left"/>
              <w:rPr>
                <w:rFonts w:ascii="仿宋" w:hAnsi="仿宋" w:eastAsia="仿宋" w:cs="宋体"/>
                <w:kern w:val="0"/>
                <w:szCs w:val="21"/>
              </w:rPr>
            </w:pPr>
            <w:r>
              <w:rPr>
                <w:rFonts w:hint="eastAsia" w:ascii="仿宋" w:hAnsi="仿宋" w:eastAsia="仿宋" w:cs="宋体"/>
                <w:kern w:val="0"/>
                <w:szCs w:val="21"/>
              </w:rPr>
              <w:t>工科、农、林院校（）</w:t>
            </w:r>
          </w:p>
          <w:p>
            <w:pPr>
              <w:widowControl/>
              <w:ind w:firstLine="1890" w:firstLineChars="900"/>
              <w:jc w:val="left"/>
              <w:rPr>
                <w:rFonts w:ascii="仿宋" w:hAnsi="仿宋" w:eastAsia="仿宋" w:cs="宋体"/>
                <w:kern w:val="0"/>
                <w:szCs w:val="21"/>
              </w:rPr>
            </w:pPr>
            <w:r>
              <w:rPr>
                <w:rFonts w:hint="eastAsia" w:ascii="仿宋" w:hAnsi="仿宋" w:eastAsia="仿宋" w:cs="宋体"/>
                <w:kern w:val="0"/>
                <w:szCs w:val="21"/>
              </w:rPr>
              <w:t>医学院校（）</w:t>
            </w:r>
          </w:p>
          <w:p>
            <w:pPr>
              <w:widowControl/>
              <w:ind w:firstLine="1890" w:firstLineChars="900"/>
              <w:jc w:val="left"/>
              <w:rPr>
                <w:rFonts w:ascii="仿宋" w:hAnsi="仿宋" w:eastAsia="仿宋" w:cs="宋体"/>
                <w:kern w:val="0"/>
                <w:szCs w:val="21"/>
              </w:rPr>
            </w:pPr>
            <w:r>
              <w:rPr>
                <w:rFonts w:hint="eastAsia" w:ascii="仿宋" w:hAnsi="仿宋" w:eastAsia="仿宋" w:cs="宋体"/>
                <w:kern w:val="0"/>
                <w:szCs w:val="21"/>
              </w:rPr>
              <w:t>语文、财经、政法院校（√ ）</w:t>
            </w:r>
          </w:p>
          <w:p>
            <w:pPr>
              <w:widowControl/>
              <w:ind w:firstLine="1890" w:firstLineChars="900"/>
              <w:jc w:val="left"/>
              <w:rPr>
                <w:rFonts w:ascii="仿宋" w:hAnsi="仿宋" w:eastAsia="仿宋" w:cs="宋体"/>
                <w:kern w:val="0"/>
                <w:szCs w:val="21"/>
              </w:rPr>
            </w:pPr>
            <w:r>
              <w:rPr>
                <w:rFonts w:hint="eastAsia" w:ascii="仿宋" w:hAnsi="仿宋" w:eastAsia="仿宋" w:cs="宋体"/>
                <w:kern w:val="0"/>
                <w:szCs w:val="21"/>
              </w:rPr>
              <w:t>体育院校（）</w:t>
            </w:r>
          </w:p>
          <w:p>
            <w:pPr>
              <w:widowControl/>
              <w:ind w:firstLine="1890" w:firstLineChars="900"/>
              <w:jc w:val="left"/>
              <w:rPr>
                <w:rFonts w:ascii="仿宋" w:hAnsi="仿宋" w:eastAsia="仿宋" w:cs="宋体"/>
                <w:kern w:val="0"/>
                <w:szCs w:val="21"/>
              </w:rPr>
            </w:pPr>
            <w:r>
              <w:rPr>
                <w:rFonts w:hint="eastAsia" w:ascii="仿宋" w:hAnsi="仿宋" w:eastAsia="仿宋" w:cs="宋体"/>
                <w:kern w:val="0"/>
                <w:szCs w:val="21"/>
              </w:rPr>
              <w:t>艺术院校（）</w:t>
            </w:r>
          </w:p>
        </w:tc>
      </w:tr>
    </w:tbl>
    <w:p>
      <w:pPr>
        <w:spacing w:after="156" w:afterLines="50" w:line="560" w:lineRule="exact"/>
        <w:jc w:val="center"/>
        <w:rPr>
          <w:rFonts w:ascii="仿宋" w:hAnsi="仿宋" w:eastAsia="仿宋"/>
          <w:b/>
          <w:szCs w:val="21"/>
        </w:rPr>
      </w:pPr>
      <w:r>
        <w:rPr>
          <w:rFonts w:hint="eastAsia" w:ascii="仿宋" w:hAnsi="仿宋" w:eastAsia="仿宋"/>
          <w:b/>
          <w:szCs w:val="21"/>
        </w:rPr>
        <w:t xml:space="preserve">表3 </w:t>
      </w:r>
      <w:r>
        <w:rPr>
          <w:rFonts w:ascii="仿宋" w:hAnsi="仿宋" w:eastAsia="仿宋"/>
          <w:b/>
          <w:szCs w:val="21"/>
        </w:rPr>
        <w:t xml:space="preserve"> </w:t>
      </w:r>
      <w:r>
        <w:rPr>
          <w:rFonts w:hint="eastAsia" w:ascii="仿宋" w:hAnsi="仿宋" w:eastAsia="仿宋"/>
          <w:b/>
          <w:szCs w:val="21"/>
        </w:rPr>
        <w:t>资源表</w:t>
      </w:r>
    </w:p>
    <w:p>
      <w:pPr>
        <w:spacing w:after="156" w:afterLines="50" w:line="560" w:lineRule="exact"/>
        <w:jc w:val="center"/>
        <w:rPr>
          <w:rFonts w:ascii="仿宋" w:hAnsi="仿宋" w:eastAsia="仿宋"/>
          <w:b/>
          <w:szCs w:val="21"/>
        </w:rPr>
      </w:pPr>
      <w:r>
        <w:rPr>
          <w:rFonts w:hint="eastAsia" w:ascii="仿宋" w:hAnsi="仿宋" w:eastAsia="仿宋"/>
          <w:b/>
          <w:szCs w:val="21"/>
        </w:rPr>
        <w:t xml:space="preserve">表4 </w:t>
      </w:r>
      <w:r>
        <w:rPr>
          <w:rFonts w:ascii="仿宋" w:hAnsi="仿宋" w:eastAsia="仿宋"/>
          <w:b/>
          <w:szCs w:val="21"/>
        </w:rPr>
        <w:t xml:space="preserve"> </w:t>
      </w:r>
      <w:r>
        <w:rPr>
          <w:rFonts w:hint="eastAsia" w:ascii="仿宋" w:hAnsi="仿宋" w:eastAsia="仿宋"/>
          <w:b/>
          <w:szCs w:val="21"/>
        </w:rPr>
        <w:t>国际影响表</w:t>
      </w:r>
    </w:p>
    <w:tbl>
      <w:tblPr>
        <w:tblStyle w:val="19"/>
        <w:tblW w:w="9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88"/>
        <w:gridCol w:w="452"/>
        <w:gridCol w:w="2819"/>
        <w:gridCol w:w="740"/>
        <w:gridCol w:w="1057"/>
        <w:gridCol w:w="99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center"/>
        </w:trPr>
        <w:tc>
          <w:tcPr>
            <w:tcW w:w="788"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院校代码</w:t>
            </w:r>
          </w:p>
        </w:tc>
        <w:tc>
          <w:tcPr>
            <w:tcW w:w="788"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院校名称</w:t>
            </w:r>
          </w:p>
        </w:tc>
        <w:tc>
          <w:tcPr>
            <w:tcW w:w="3271" w:type="dxa"/>
            <w:gridSpan w:val="2"/>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指标</w:t>
            </w:r>
          </w:p>
        </w:tc>
        <w:tc>
          <w:tcPr>
            <w:tcW w:w="740"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1057"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2017年</w:t>
            </w:r>
          </w:p>
        </w:tc>
        <w:tc>
          <w:tcPr>
            <w:tcW w:w="992"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2018年</w:t>
            </w:r>
          </w:p>
        </w:tc>
        <w:tc>
          <w:tcPr>
            <w:tcW w:w="1984" w:type="dxa"/>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restart"/>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14091</w:t>
            </w:r>
          </w:p>
        </w:tc>
        <w:tc>
          <w:tcPr>
            <w:tcW w:w="788" w:type="dxa"/>
            <w:vMerge w:val="restart"/>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全日制国（境）外留学生人数（一年以上）</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非全日制国（境）外人员培训量</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人日</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在校生服务“走出去”企业国（境）外实习时间</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人日</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专任教师赴国（境）外指导和开展培训时间</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人日</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在国（境）外组织担任职务的专任教师人数</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tcPr>
          <w:p>
            <w:pPr>
              <w:widowControl/>
              <w:jc w:val="left"/>
              <w:rPr>
                <w:rFonts w:ascii="仿宋" w:hAnsi="仿宋" w:eastAsia="仿宋" w:cs="宋体"/>
                <w:kern w:val="0"/>
                <w:szCs w:val="21"/>
              </w:rPr>
            </w:pPr>
            <w:r>
              <w:rPr>
                <w:rFonts w:hint="eastAsia" w:ascii="仿宋" w:hAnsi="仿宋" w:eastAsia="仿宋" w:cs="宋体"/>
                <w:kern w:val="0"/>
                <w:szCs w:val="21"/>
              </w:rPr>
              <w:t>填报格式：××（姓名）在××（组织名），担任××职务；须逐一列出，否则数据无效。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Merge w:val="restart"/>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开发并被国（境）外采用的专业教学标准数</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个</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Merge w:val="restart"/>
          </w:tcPr>
          <w:p>
            <w:pPr>
              <w:widowControl/>
              <w:jc w:val="left"/>
              <w:rPr>
                <w:rFonts w:ascii="仿宋" w:hAnsi="仿宋" w:eastAsia="仿宋" w:cs="宋体"/>
                <w:kern w:val="0"/>
                <w:szCs w:val="21"/>
              </w:rPr>
            </w:pPr>
            <w:r>
              <w:rPr>
                <w:rFonts w:hint="eastAsia" w:ascii="仿宋" w:hAnsi="仿宋" w:eastAsia="仿宋" w:cs="宋体"/>
                <w:kern w:val="0"/>
                <w:szCs w:val="21"/>
              </w:rPr>
              <w:t>填报格式：开发××标准被××、××采用（该标准须被2个及以上国家或地区同行所采用）；须逐一列出，否则数据无效。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52" w:type="dxa"/>
            <w:vMerge w:val="continue"/>
            <w:vAlign w:val="center"/>
          </w:tcPr>
          <w:p>
            <w:pPr>
              <w:widowControl/>
              <w:jc w:val="center"/>
              <w:rPr>
                <w:rFonts w:ascii="仿宋" w:hAnsi="仿宋" w:eastAsia="仿宋" w:cs="宋体"/>
                <w:kern w:val="0"/>
                <w:szCs w:val="21"/>
              </w:rPr>
            </w:pP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开发并被国（境）外采用的课程标准数</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个</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vMerge w:val="continue"/>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88" w:type="dxa"/>
            <w:vMerge w:val="continue"/>
            <w:shd w:val="clear" w:color="auto" w:fill="auto"/>
          </w:tcPr>
          <w:p>
            <w:pPr>
              <w:widowControl/>
              <w:jc w:val="left"/>
              <w:rPr>
                <w:rFonts w:ascii="仿宋" w:hAnsi="仿宋" w:eastAsia="仿宋" w:cs="宋体"/>
                <w:kern w:val="0"/>
                <w:szCs w:val="21"/>
              </w:rPr>
            </w:pPr>
          </w:p>
        </w:tc>
        <w:tc>
          <w:tcPr>
            <w:tcW w:w="788" w:type="dxa"/>
            <w:vMerge w:val="continue"/>
            <w:shd w:val="clear" w:color="auto" w:fill="auto"/>
          </w:tcPr>
          <w:p>
            <w:pPr>
              <w:widowControl/>
              <w:jc w:val="left"/>
              <w:rPr>
                <w:rFonts w:ascii="仿宋" w:hAnsi="仿宋" w:eastAsia="仿宋" w:cs="宋体"/>
                <w:kern w:val="0"/>
                <w:szCs w:val="21"/>
              </w:rPr>
            </w:pPr>
          </w:p>
        </w:tc>
        <w:tc>
          <w:tcPr>
            <w:tcW w:w="452"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7</w:t>
            </w:r>
          </w:p>
        </w:tc>
        <w:tc>
          <w:tcPr>
            <w:tcW w:w="2819"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国（境）外技能大赛获奖数量</w:t>
            </w:r>
          </w:p>
        </w:tc>
        <w:tc>
          <w:tcPr>
            <w:tcW w:w="740" w:type="dxa"/>
            <w:vAlign w:val="center"/>
          </w:tcPr>
          <w:p>
            <w:pPr>
              <w:widowControl/>
              <w:jc w:val="center"/>
              <w:rPr>
                <w:rFonts w:ascii="仿宋" w:hAnsi="仿宋" w:eastAsia="仿宋" w:cs="宋体"/>
                <w:kern w:val="0"/>
                <w:szCs w:val="21"/>
              </w:rPr>
            </w:pPr>
            <w:r>
              <w:rPr>
                <w:rFonts w:hint="eastAsia" w:ascii="仿宋" w:hAnsi="仿宋" w:eastAsia="仿宋" w:cs="宋体"/>
                <w:kern w:val="0"/>
                <w:szCs w:val="21"/>
              </w:rPr>
              <w:t>项</w:t>
            </w:r>
          </w:p>
        </w:tc>
        <w:tc>
          <w:tcPr>
            <w:tcW w:w="1057"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992" w:type="dxa"/>
            <w:vAlign w:val="center"/>
          </w:tcPr>
          <w:p>
            <w:pPr>
              <w:widowControl/>
              <w:jc w:val="left"/>
              <w:rPr>
                <w:rFonts w:ascii="仿宋" w:hAnsi="仿宋" w:eastAsia="仿宋" w:cs="宋体"/>
                <w:kern w:val="0"/>
                <w:szCs w:val="21"/>
              </w:rPr>
            </w:pPr>
            <w:r>
              <w:rPr>
                <w:rFonts w:hint="eastAsia" w:ascii="仿宋" w:hAnsi="仿宋" w:eastAsia="仿宋" w:cs="宋体"/>
                <w:kern w:val="0"/>
                <w:szCs w:val="21"/>
              </w:rPr>
              <w:t>0</w:t>
            </w:r>
          </w:p>
        </w:tc>
        <w:tc>
          <w:tcPr>
            <w:tcW w:w="1984" w:type="dxa"/>
          </w:tcPr>
          <w:p>
            <w:pPr>
              <w:widowControl/>
              <w:jc w:val="left"/>
              <w:rPr>
                <w:rFonts w:ascii="仿宋" w:hAnsi="仿宋" w:eastAsia="仿宋" w:cs="宋体"/>
                <w:kern w:val="0"/>
                <w:szCs w:val="21"/>
              </w:rPr>
            </w:pPr>
            <w:r>
              <w:rPr>
                <w:rFonts w:hint="eastAsia" w:ascii="仿宋" w:hAnsi="仿宋" w:eastAsia="仿宋" w:cs="宋体"/>
                <w:kern w:val="0"/>
                <w:szCs w:val="21"/>
              </w:rPr>
              <w:t>填报格式：××（姓名）在××（大赛名），获××奖；须逐一列出，否则数据无效。</w:t>
            </w:r>
          </w:p>
        </w:tc>
      </w:tr>
    </w:tbl>
    <w:p>
      <w:pPr>
        <w:rPr>
          <w:rFonts w:ascii="仿宋" w:hAnsi="仿宋" w:eastAsia="仿宋"/>
        </w:rPr>
      </w:pPr>
    </w:p>
    <w:p>
      <w:pPr>
        <w:spacing w:after="156" w:afterLines="50" w:line="560" w:lineRule="exact"/>
        <w:jc w:val="center"/>
        <w:rPr>
          <w:rFonts w:ascii="仿宋" w:hAnsi="仿宋" w:eastAsia="仿宋"/>
          <w:b/>
          <w:szCs w:val="21"/>
        </w:rPr>
      </w:pPr>
      <w:r>
        <w:rPr>
          <w:rFonts w:hint="eastAsia" w:ascii="仿宋" w:hAnsi="仿宋" w:eastAsia="仿宋"/>
          <w:b/>
          <w:szCs w:val="21"/>
        </w:rPr>
        <w:t xml:space="preserve">表5 </w:t>
      </w:r>
      <w:r>
        <w:rPr>
          <w:rFonts w:ascii="仿宋" w:hAnsi="仿宋" w:eastAsia="仿宋"/>
          <w:b/>
          <w:szCs w:val="21"/>
        </w:rPr>
        <w:t xml:space="preserve"> </w:t>
      </w:r>
      <w:r>
        <w:rPr>
          <w:rFonts w:hint="eastAsia" w:ascii="仿宋" w:hAnsi="仿宋" w:eastAsia="仿宋"/>
          <w:b/>
          <w:szCs w:val="21"/>
        </w:rPr>
        <w:t>服务贡献表</w:t>
      </w:r>
    </w:p>
    <w:tbl>
      <w:tblPr>
        <w:tblStyle w:val="19"/>
        <w:tblW w:w="8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88"/>
        <w:gridCol w:w="409"/>
        <w:gridCol w:w="2658"/>
        <w:gridCol w:w="852"/>
        <w:gridCol w:w="1156"/>
        <w:gridCol w:w="1276"/>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院校</w:t>
            </w:r>
          </w:p>
          <w:p>
            <w:pPr>
              <w:widowControl/>
              <w:jc w:val="center"/>
              <w:rPr>
                <w:rFonts w:ascii="仿宋" w:hAnsi="仿宋" w:eastAsia="仿宋" w:cs="宋体"/>
                <w:b/>
                <w:bCs/>
                <w:kern w:val="0"/>
                <w:szCs w:val="21"/>
              </w:rPr>
            </w:pPr>
            <w:r>
              <w:rPr>
                <w:rFonts w:hint="eastAsia" w:ascii="仿宋" w:hAnsi="仿宋" w:eastAsia="仿宋" w:cs="宋体"/>
                <w:b/>
                <w:bCs/>
                <w:kern w:val="0"/>
                <w:szCs w:val="21"/>
              </w:rPr>
              <w:t>代码</w:t>
            </w:r>
          </w:p>
        </w:tc>
        <w:tc>
          <w:tcPr>
            <w:tcW w:w="788" w:type="dxa"/>
            <w:shd w:val="clear" w:color="000000" w:fill="FFFFFF"/>
            <w:vAlign w:val="center"/>
          </w:tcPr>
          <w:p>
            <w:pPr>
              <w:widowControl/>
              <w:jc w:val="left"/>
              <w:rPr>
                <w:rFonts w:ascii="仿宋" w:hAnsi="仿宋" w:eastAsia="仿宋" w:cs="宋体"/>
                <w:b/>
                <w:bCs/>
                <w:kern w:val="0"/>
                <w:szCs w:val="21"/>
              </w:rPr>
            </w:pPr>
            <w:r>
              <w:rPr>
                <w:rFonts w:hint="eastAsia" w:ascii="仿宋" w:hAnsi="仿宋" w:eastAsia="仿宋" w:cs="宋体"/>
                <w:b/>
                <w:bCs/>
                <w:kern w:val="0"/>
                <w:szCs w:val="21"/>
              </w:rPr>
              <w:t>院校名称</w:t>
            </w:r>
          </w:p>
        </w:tc>
        <w:tc>
          <w:tcPr>
            <w:tcW w:w="3067" w:type="dxa"/>
            <w:gridSpan w:val="2"/>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指标</w:t>
            </w:r>
          </w:p>
        </w:tc>
        <w:tc>
          <w:tcPr>
            <w:tcW w:w="852"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1156"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2017年</w:t>
            </w:r>
          </w:p>
        </w:tc>
        <w:tc>
          <w:tcPr>
            <w:tcW w:w="1276"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2018年</w:t>
            </w:r>
          </w:p>
        </w:tc>
        <w:tc>
          <w:tcPr>
            <w:tcW w:w="832" w:type="dxa"/>
            <w:shd w:val="clear" w:color="000000" w:fill="FFFFFF"/>
          </w:tcPr>
          <w:p>
            <w:pPr>
              <w:widowControl/>
              <w:jc w:val="center"/>
              <w:rPr>
                <w:rFonts w:ascii="仿宋" w:hAnsi="仿宋" w:eastAsia="仿宋"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restart"/>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14091</w:t>
            </w:r>
          </w:p>
        </w:tc>
        <w:tc>
          <w:tcPr>
            <w:tcW w:w="788" w:type="dxa"/>
            <w:vMerge w:val="restart"/>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409" w:type="dxa"/>
            <w:vMerge w:val="restart"/>
            <w:shd w:val="clear" w:color="000000" w:fill="FFFFFF"/>
            <w:vAlign w:val="center"/>
          </w:tcPr>
          <w:p>
            <w:pPr>
              <w:jc w:val="center"/>
              <w:rPr>
                <w:rFonts w:ascii="仿宋" w:hAnsi="仿宋" w:eastAsia="仿宋" w:cs="宋体"/>
                <w:kern w:val="0"/>
                <w:szCs w:val="21"/>
              </w:rPr>
            </w:pPr>
            <w:r>
              <w:rPr>
                <w:rFonts w:hint="eastAsia" w:ascii="仿宋" w:hAnsi="仿宋" w:eastAsia="仿宋" w:cs="宋体"/>
                <w:kern w:val="0"/>
                <w:szCs w:val="21"/>
              </w:rPr>
              <w:t>1</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全日制在校生人数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6169</w:t>
            </w:r>
          </w:p>
        </w:tc>
        <w:tc>
          <w:tcPr>
            <w:tcW w:w="1276" w:type="dxa"/>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6238</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tcPr>
          <w:p>
            <w:pPr>
              <w:widowControl/>
              <w:jc w:val="center"/>
              <w:rPr>
                <w:rFonts w:ascii="仿宋" w:hAnsi="仿宋" w:eastAsia="仿宋" w:cs="宋体"/>
                <w:kern w:val="0"/>
                <w:szCs w:val="21"/>
              </w:rPr>
            </w:pPr>
          </w:p>
        </w:tc>
        <w:tc>
          <w:tcPr>
            <w:tcW w:w="788" w:type="dxa"/>
            <w:vMerge w:val="continue"/>
          </w:tcPr>
          <w:p>
            <w:pPr>
              <w:widowControl/>
              <w:jc w:val="center"/>
              <w:rPr>
                <w:rFonts w:ascii="仿宋" w:hAnsi="仿宋" w:eastAsia="仿宋" w:cs="宋体"/>
                <w:kern w:val="0"/>
                <w:szCs w:val="21"/>
              </w:rPr>
            </w:pPr>
          </w:p>
        </w:tc>
        <w:tc>
          <w:tcPr>
            <w:tcW w:w="409" w:type="dxa"/>
            <w:vMerge w:val="continue"/>
            <w:shd w:val="clear" w:color="000000" w:fill="FFFFFF"/>
            <w:vAlign w:val="center"/>
          </w:tcPr>
          <w:p>
            <w:pPr>
              <w:widowControl/>
              <w:rPr>
                <w:rFonts w:ascii="仿宋" w:hAnsi="仿宋" w:eastAsia="仿宋" w:cs="宋体"/>
                <w:kern w:val="0"/>
                <w:szCs w:val="21"/>
              </w:rPr>
            </w:pP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毕业生人数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2035</w:t>
            </w:r>
          </w:p>
        </w:tc>
        <w:tc>
          <w:tcPr>
            <w:tcW w:w="1276" w:type="dxa"/>
            <w:shd w:val="clear" w:color="000000" w:fill="FFFFFF"/>
            <w:vAlign w:val="bottom"/>
          </w:tcPr>
          <w:p>
            <w:pPr>
              <w:widowControl/>
              <w:jc w:val="center"/>
              <w:rPr>
                <w:rFonts w:ascii="仿宋" w:hAnsi="仿宋" w:eastAsia="仿宋" w:cs="宋体"/>
                <w:kern w:val="0"/>
                <w:szCs w:val="21"/>
              </w:rPr>
            </w:pPr>
            <w:r>
              <w:rPr>
                <w:rFonts w:hint="eastAsia" w:ascii="仿宋" w:hAnsi="仿宋" w:eastAsia="仿宋" w:cs="宋体"/>
                <w:kern w:val="0"/>
                <w:szCs w:val="21"/>
              </w:rPr>
              <w:t>1982</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其中：就业人数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2022</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1961</w:t>
            </w:r>
          </w:p>
        </w:tc>
        <w:tc>
          <w:tcPr>
            <w:tcW w:w="832" w:type="dxa"/>
            <w:shd w:val="clear" w:color="000000" w:fill="FFFFFF"/>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00"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毕业生就业去向：</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w:t>
            </w:r>
          </w:p>
        </w:tc>
        <w:tc>
          <w:tcPr>
            <w:tcW w:w="832" w:type="dxa"/>
            <w:shd w:val="clear" w:color="000000" w:fill="FFFFFF"/>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A类:留在当地就业人数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1739</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1698</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B类:到西部地区和东北地区就业人数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1796</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1821</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tcPr>
          <w:p>
            <w:pPr>
              <w:widowControl/>
              <w:jc w:val="left"/>
              <w:rPr>
                <w:rFonts w:ascii="仿宋" w:hAnsi="仿宋" w:eastAsia="仿宋" w:cs="宋体"/>
                <w:kern w:val="0"/>
                <w:szCs w:val="21"/>
              </w:rPr>
            </w:pPr>
          </w:p>
        </w:tc>
        <w:tc>
          <w:tcPr>
            <w:tcW w:w="788" w:type="dxa"/>
            <w:vMerge w:val="continue"/>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C类:到中小微企业等基层服务人数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184</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1786</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tcPr>
          <w:p>
            <w:pPr>
              <w:widowControl/>
              <w:jc w:val="left"/>
              <w:rPr>
                <w:rFonts w:ascii="仿宋" w:hAnsi="仿宋" w:eastAsia="仿宋" w:cs="宋体"/>
                <w:kern w:val="0"/>
                <w:szCs w:val="21"/>
              </w:rPr>
            </w:pPr>
          </w:p>
        </w:tc>
        <w:tc>
          <w:tcPr>
            <w:tcW w:w="788" w:type="dxa"/>
            <w:vMerge w:val="continue"/>
            <w:shd w:val="clear" w:color="auto" w:fill="auto"/>
          </w:tcPr>
          <w:p>
            <w:pPr>
              <w:widowControl/>
              <w:jc w:val="left"/>
              <w:rPr>
                <w:rFonts w:ascii="仿宋" w:hAnsi="仿宋" w:eastAsia="仿宋" w:cs="宋体"/>
                <w:kern w:val="0"/>
                <w:szCs w:val="21"/>
              </w:rPr>
            </w:pPr>
          </w:p>
        </w:tc>
        <w:tc>
          <w:tcPr>
            <w:tcW w:w="409" w:type="dxa"/>
            <w:vMerge w:val="continue"/>
            <w:shd w:val="clear" w:color="auto" w:fill="auto"/>
            <w:vAlign w:val="center"/>
          </w:tcPr>
          <w:p>
            <w:pPr>
              <w:widowControl/>
              <w:jc w:val="left"/>
              <w:rPr>
                <w:rFonts w:ascii="仿宋" w:hAnsi="仿宋" w:eastAsia="仿宋" w:cs="宋体"/>
                <w:kern w:val="0"/>
                <w:szCs w:val="21"/>
              </w:rPr>
            </w:pPr>
          </w:p>
        </w:tc>
        <w:tc>
          <w:tcPr>
            <w:tcW w:w="2658"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D类:到500强企业就业人数</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98</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95</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横向技术服务到款额</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428.02</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420.43</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vMerge w:val="continue"/>
            <w:shd w:val="clear" w:color="000000" w:fill="FFFFFF"/>
            <w:vAlign w:val="center"/>
          </w:tcPr>
          <w:p>
            <w:pPr>
              <w:widowControl/>
              <w:jc w:val="center"/>
              <w:rPr>
                <w:rFonts w:ascii="仿宋" w:hAnsi="仿宋" w:eastAsia="仿宋" w:cs="宋体"/>
                <w:kern w:val="0"/>
                <w:szCs w:val="21"/>
              </w:rPr>
            </w:pP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横向技术服务产生的经济效益</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156" w:type="dxa"/>
            <w:shd w:val="solid" w:color="FFFFFF"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276" w:type="dxa"/>
            <w:shd w:val="solid" w:color="FFFFFF"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20</w:t>
            </w:r>
          </w:p>
        </w:tc>
        <w:tc>
          <w:tcPr>
            <w:tcW w:w="832" w:type="dxa"/>
            <w:shd w:val="clear" w:color="000000" w:fill="FFFFFF"/>
          </w:tcPr>
          <w:p>
            <w:pPr>
              <w:widowControl/>
              <w:rPr>
                <w:rFonts w:ascii="仿宋" w:hAnsi="仿宋" w:eastAsia="仿宋" w:cs="宋体"/>
                <w:kern w:val="0"/>
                <w:szCs w:val="21"/>
              </w:rPr>
            </w:pPr>
            <w:r>
              <w:rPr>
                <w:rFonts w:hint="eastAsia" w:ascii="仿宋" w:hAnsi="仿宋" w:eastAsia="仿宋" w:cs="宋体"/>
                <w:kern w:val="0"/>
                <w:szCs w:val="21"/>
              </w:rPr>
              <w:t>提供产生经济效益的企业出具的证明，并盖财务章。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纵向科研经费到款额</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26.4</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23.5</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技术交易到款额</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19.45</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48.4</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非学历培训到款额</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214.25</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317.225</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40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2658"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公益性培训服务</w:t>
            </w:r>
          </w:p>
        </w:tc>
        <w:tc>
          <w:tcPr>
            <w:tcW w:w="852"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人日</w:t>
            </w:r>
          </w:p>
        </w:tc>
        <w:tc>
          <w:tcPr>
            <w:tcW w:w="115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6283</w:t>
            </w:r>
          </w:p>
        </w:tc>
        <w:tc>
          <w:tcPr>
            <w:tcW w:w="1276"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255</w:t>
            </w:r>
          </w:p>
        </w:tc>
        <w:tc>
          <w:tcPr>
            <w:tcW w:w="832" w:type="dxa"/>
            <w:shd w:val="clear" w:color="000000" w:fill="FFFFFF"/>
          </w:tcPr>
          <w:p>
            <w:pPr>
              <w:widowControl/>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0" w:type="dxa"/>
            <w:vMerge w:val="continue"/>
            <w:shd w:val="clear" w:color="auto" w:fill="auto"/>
            <w:vAlign w:val="center"/>
          </w:tcPr>
          <w:p>
            <w:pPr>
              <w:widowControl/>
              <w:jc w:val="left"/>
              <w:rPr>
                <w:rFonts w:ascii="仿宋" w:hAnsi="仿宋" w:eastAsia="仿宋" w:cs="宋体"/>
                <w:kern w:val="0"/>
                <w:szCs w:val="21"/>
              </w:rPr>
            </w:pPr>
          </w:p>
        </w:tc>
        <w:tc>
          <w:tcPr>
            <w:tcW w:w="788" w:type="dxa"/>
            <w:vMerge w:val="continue"/>
            <w:shd w:val="clear" w:color="auto" w:fill="auto"/>
            <w:vAlign w:val="center"/>
          </w:tcPr>
          <w:p>
            <w:pPr>
              <w:widowControl/>
              <w:jc w:val="left"/>
              <w:rPr>
                <w:rFonts w:ascii="仿宋" w:hAnsi="仿宋" w:eastAsia="仿宋" w:cs="宋体"/>
                <w:kern w:val="0"/>
                <w:szCs w:val="21"/>
              </w:rPr>
            </w:pPr>
          </w:p>
        </w:tc>
        <w:tc>
          <w:tcPr>
            <w:tcW w:w="6351" w:type="dxa"/>
            <w:gridSpan w:val="5"/>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主要办学经费来源（单选）：省级（√）   地市级（）</w:t>
            </w:r>
          </w:p>
          <w:p>
            <w:pPr>
              <w:widowControl/>
              <w:ind w:firstLine="2100" w:firstLineChars="1000"/>
              <w:jc w:val="left"/>
              <w:rPr>
                <w:rFonts w:ascii="仿宋" w:hAnsi="仿宋" w:eastAsia="仿宋" w:cs="宋体"/>
                <w:kern w:val="0"/>
                <w:szCs w:val="21"/>
              </w:rPr>
            </w:pPr>
            <w:r>
              <w:rPr>
                <w:rFonts w:hint="eastAsia" w:ascii="仿宋" w:hAnsi="仿宋" w:eastAsia="仿宋" w:cs="宋体"/>
                <w:kern w:val="0"/>
                <w:szCs w:val="21"/>
              </w:rPr>
              <w:t>行业或企业（）   其他（）</w:t>
            </w:r>
          </w:p>
        </w:tc>
        <w:tc>
          <w:tcPr>
            <w:tcW w:w="832" w:type="dxa"/>
            <w:shd w:val="clear" w:color="000000" w:fill="FFFFFF"/>
          </w:tcPr>
          <w:p>
            <w:pPr>
              <w:widowControl/>
              <w:jc w:val="left"/>
              <w:rPr>
                <w:rFonts w:ascii="仿宋" w:hAnsi="仿宋" w:eastAsia="仿宋" w:cs="宋体"/>
                <w:kern w:val="0"/>
                <w:szCs w:val="21"/>
              </w:rPr>
            </w:pPr>
          </w:p>
        </w:tc>
      </w:tr>
    </w:tbl>
    <w:p>
      <w:pPr>
        <w:rPr>
          <w:rFonts w:ascii="仿宋" w:hAnsi="仿宋" w:eastAsia="仿宋"/>
        </w:rPr>
      </w:pPr>
    </w:p>
    <w:p>
      <w:pPr>
        <w:spacing w:after="156" w:afterLines="50" w:line="560" w:lineRule="exact"/>
        <w:jc w:val="center"/>
        <w:rPr>
          <w:rFonts w:ascii="仿宋" w:hAnsi="仿宋" w:eastAsia="仿宋"/>
          <w:b/>
          <w:szCs w:val="21"/>
        </w:rPr>
      </w:pPr>
      <w:r>
        <w:rPr>
          <w:rFonts w:hint="eastAsia" w:ascii="仿宋" w:hAnsi="仿宋" w:eastAsia="仿宋"/>
          <w:b/>
          <w:szCs w:val="21"/>
        </w:rPr>
        <w:t xml:space="preserve">表6 </w:t>
      </w:r>
      <w:r>
        <w:rPr>
          <w:rFonts w:ascii="仿宋" w:hAnsi="仿宋" w:eastAsia="仿宋"/>
          <w:b/>
          <w:szCs w:val="21"/>
        </w:rPr>
        <w:t xml:space="preserve"> </w:t>
      </w:r>
      <w:r>
        <w:rPr>
          <w:rFonts w:hint="eastAsia" w:ascii="仿宋" w:hAnsi="仿宋" w:eastAsia="仿宋"/>
          <w:b/>
          <w:szCs w:val="21"/>
        </w:rPr>
        <w:t>落实政策表</w:t>
      </w:r>
    </w:p>
    <w:tbl>
      <w:tblPr>
        <w:tblStyle w:val="19"/>
        <w:tblW w:w="92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5"/>
        <w:gridCol w:w="571"/>
        <w:gridCol w:w="3833"/>
        <w:gridCol w:w="899"/>
        <w:gridCol w:w="127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0"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院校</w:t>
            </w:r>
          </w:p>
          <w:p>
            <w:pPr>
              <w:widowControl/>
              <w:jc w:val="center"/>
              <w:rPr>
                <w:rFonts w:ascii="仿宋" w:hAnsi="仿宋" w:eastAsia="仿宋" w:cs="宋体"/>
                <w:b/>
                <w:bCs/>
                <w:kern w:val="0"/>
                <w:szCs w:val="21"/>
              </w:rPr>
            </w:pPr>
            <w:r>
              <w:rPr>
                <w:rFonts w:hint="eastAsia" w:ascii="仿宋" w:hAnsi="仿宋" w:eastAsia="仿宋" w:cs="宋体"/>
                <w:b/>
                <w:bCs/>
                <w:kern w:val="0"/>
                <w:szCs w:val="21"/>
              </w:rPr>
              <w:t>代码</w:t>
            </w:r>
          </w:p>
        </w:tc>
        <w:tc>
          <w:tcPr>
            <w:tcW w:w="705"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院校</w:t>
            </w:r>
          </w:p>
          <w:p>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4404" w:type="dxa"/>
            <w:gridSpan w:val="2"/>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指标</w:t>
            </w:r>
          </w:p>
        </w:tc>
        <w:tc>
          <w:tcPr>
            <w:tcW w:w="899"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1271"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2017年</w:t>
            </w:r>
          </w:p>
        </w:tc>
        <w:tc>
          <w:tcPr>
            <w:tcW w:w="1134" w:type="dxa"/>
            <w:shd w:val="clear" w:color="000000" w:fill="FFFFFF"/>
            <w:vAlign w:val="center"/>
          </w:tcPr>
          <w:p>
            <w:pPr>
              <w:widowControl/>
              <w:jc w:val="center"/>
              <w:rPr>
                <w:rFonts w:ascii="仿宋" w:hAnsi="仿宋" w:eastAsia="仿宋" w:cs="宋体"/>
                <w:b/>
                <w:bCs/>
                <w:kern w:val="0"/>
                <w:szCs w:val="21"/>
              </w:rPr>
            </w:pPr>
            <w:r>
              <w:rPr>
                <w:rFonts w:hint="eastAsia" w:ascii="仿宋" w:hAnsi="仿宋" w:eastAsia="仿宋" w:cs="宋体"/>
                <w:b/>
                <w:bCs/>
                <w:kern w:val="0"/>
                <w:szCs w:val="21"/>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restart"/>
            <w:vAlign w:val="center"/>
          </w:tcPr>
          <w:p>
            <w:pPr>
              <w:widowControl/>
              <w:snapToGrid w:val="0"/>
              <w:jc w:val="center"/>
              <w:rPr>
                <w:rFonts w:ascii="仿宋" w:hAnsi="仿宋" w:eastAsia="仿宋" w:cs="宋体"/>
                <w:kern w:val="0"/>
                <w:szCs w:val="21"/>
              </w:rPr>
            </w:pPr>
            <w:r>
              <w:rPr>
                <w:rFonts w:ascii="仿宋" w:hAnsi="仿宋" w:eastAsia="仿宋" w:cs="宋体"/>
                <w:kern w:val="0"/>
                <w:szCs w:val="21"/>
              </w:rPr>
              <w:t>14091</w:t>
            </w:r>
          </w:p>
        </w:tc>
        <w:tc>
          <w:tcPr>
            <w:tcW w:w="705" w:type="dxa"/>
            <w:vMerge w:val="restart"/>
            <w:vAlign w:val="center"/>
          </w:tcPr>
          <w:p>
            <w:pPr>
              <w:widowControl/>
              <w:snapToGrid w:val="0"/>
              <w:jc w:val="center"/>
              <w:rPr>
                <w:rFonts w:ascii="仿宋" w:hAnsi="仿宋" w:eastAsia="仿宋" w:cs="宋体"/>
                <w:kern w:val="0"/>
                <w:szCs w:val="21"/>
              </w:rPr>
            </w:pPr>
            <w:r>
              <w:rPr>
                <w:rFonts w:hint="eastAsia" w:ascii="仿宋" w:hAnsi="仿宋" w:eastAsia="仿宋" w:cs="宋体"/>
                <w:kern w:val="0"/>
                <w:szCs w:val="21"/>
              </w:rPr>
              <w:t>四川财经职业学院</w:t>
            </w:r>
          </w:p>
        </w:tc>
        <w:tc>
          <w:tcPr>
            <w:tcW w:w="571"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3833" w:type="dxa"/>
            <w:shd w:val="clear" w:color="auto" w:fill="auto"/>
            <w:vAlign w:val="center"/>
          </w:tcPr>
          <w:p>
            <w:pPr>
              <w:widowControl/>
              <w:jc w:val="left"/>
              <w:rPr>
                <w:rFonts w:ascii="仿宋" w:hAnsi="仿宋" w:eastAsia="仿宋" w:cs="宋体"/>
                <w:kern w:val="0"/>
                <w:szCs w:val="21"/>
              </w:rPr>
            </w:pPr>
            <w:r>
              <w:rPr>
                <w:rFonts w:hint="eastAsia" w:ascii="仿宋" w:hAnsi="仿宋" w:eastAsia="仿宋" w:cs="宋体"/>
                <w:kern w:val="0"/>
                <w:szCs w:val="21"/>
              </w:rPr>
              <w:t>年生均财政拨款水平</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14477.01</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14431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vMerge w:val="continue"/>
            <w:shd w:val="clear" w:color="000000" w:fill="FFFFFF"/>
            <w:vAlign w:val="center"/>
          </w:tcPr>
          <w:p>
            <w:pPr>
              <w:widowControl/>
              <w:jc w:val="center"/>
              <w:rPr>
                <w:rFonts w:ascii="仿宋" w:hAnsi="仿宋" w:eastAsia="仿宋" w:cs="宋体"/>
                <w:kern w:val="0"/>
                <w:szCs w:val="21"/>
              </w:rPr>
            </w:pPr>
          </w:p>
        </w:tc>
        <w:tc>
          <w:tcPr>
            <w:tcW w:w="3833" w:type="dxa"/>
            <w:shd w:val="clear" w:color="auto" w:fill="auto"/>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其中：年生均财政专项经费</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2763.16</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2890.00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w:t>
            </w: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教职员工额定编制数</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340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vMerge w:val="continue"/>
            <w:shd w:val="clear" w:color="auto" w:fill="auto"/>
            <w:vAlign w:val="center"/>
          </w:tcPr>
          <w:p>
            <w:pPr>
              <w:widowControl/>
              <w:jc w:val="left"/>
              <w:rPr>
                <w:rFonts w:ascii="仿宋" w:hAnsi="仿宋" w:eastAsia="仿宋" w:cs="宋体"/>
                <w:kern w:val="0"/>
                <w:szCs w:val="21"/>
              </w:rPr>
            </w:pP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在岗教职员工总数</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473</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vMerge w:val="continue"/>
            <w:shd w:val="clear" w:color="auto" w:fill="auto"/>
            <w:vAlign w:val="center"/>
          </w:tcPr>
          <w:p>
            <w:pPr>
              <w:widowControl/>
              <w:jc w:val="left"/>
              <w:rPr>
                <w:rFonts w:ascii="仿宋" w:hAnsi="仿宋" w:eastAsia="仿宋" w:cs="宋体"/>
                <w:kern w:val="0"/>
                <w:szCs w:val="21"/>
              </w:rPr>
            </w:pPr>
          </w:p>
        </w:tc>
        <w:tc>
          <w:tcPr>
            <w:tcW w:w="3833"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其中：专任教师总数</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人</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321</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企业提供的校内实践教学设备值</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万元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50" w:type="dxa"/>
            <w:vMerge w:val="continue"/>
          </w:tcPr>
          <w:p>
            <w:pPr>
              <w:widowControl/>
              <w:jc w:val="left"/>
              <w:rPr>
                <w:rFonts w:ascii="仿宋" w:hAnsi="仿宋" w:eastAsia="仿宋" w:cs="宋体"/>
                <w:kern w:val="0"/>
                <w:szCs w:val="21"/>
              </w:rPr>
            </w:pPr>
          </w:p>
        </w:tc>
        <w:tc>
          <w:tcPr>
            <w:tcW w:w="705" w:type="dxa"/>
            <w:vMerge w:val="continue"/>
          </w:tcPr>
          <w:p>
            <w:pPr>
              <w:widowControl/>
              <w:jc w:val="left"/>
              <w:rPr>
                <w:rFonts w:ascii="仿宋" w:hAnsi="仿宋" w:eastAsia="仿宋" w:cs="宋体"/>
                <w:kern w:val="0"/>
                <w:szCs w:val="21"/>
              </w:rPr>
            </w:pPr>
          </w:p>
        </w:tc>
        <w:tc>
          <w:tcPr>
            <w:tcW w:w="571"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w:t>
            </w: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生均企业实习经费补贴</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50" w:type="dxa"/>
            <w:vMerge w:val="continue"/>
            <w:shd w:val="clear" w:color="auto" w:fill="auto"/>
          </w:tcPr>
          <w:p>
            <w:pPr>
              <w:widowControl/>
              <w:jc w:val="left"/>
              <w:rPr>
                <w:rFonts w:ascii="仿宋" w:hAnsi="仿宋" w:eastAsia="仿宋" w:cs="宋体"/>
                <w:kern w:val="0"/>
                <w:szCs w:val="21"/>
              </w:rPr>
            </w:pPr>
          </w:p>
        </w:tc>
        <w:tc>
          <w:tcPr>
            <w:tcW w:w="705" w:type="dxa"/>
            <w:vMerge w:val="continue"/>
            <w:shd w:val="clear" w:color="auto" w:fill="auto"/>
          </w:tcPr>
          <w:p>
            <w:pPr>
              <w:widowControl/>
              <w:jc w:val="left"/>
              <w:rPr>
                <w:rFonts w:ascii="仿宋" w:hAnsi="仿宋" w:eastAsia="仿宋" w:cs="宋体"/>
                <w:kern w:val="0"/>
                <w:szCs w:val="21"/>
              </w:rPr>
            </w:pPr>
          </w:p>
        </w:tc>
        <w:tc>
          <w:tcPr>
            <w:tcW w:w="571" w:type="dxa"/>
            <w:vMerge w:val="continue"/>
            <w:shd w:val="clear" w:color="000000" w:fill="FFFFFF"/>
            <w:vAlign w:val="center"/>
          </w:tcPr>
          <w:p>
            <w:pPr>
              <w:widowControl/>
              <w:jc w:val="center"/>
              <w:rPr>
                <w:rFonts w:ascii="仿宋" w:hAnsi="仿宋" w:eastAsia="仿宋" w:cs="宋体"/>
                <w:kern w:val="0"/>
                <w:szCs w:val="21"/>
              </w:rPr>
            </w:pPr>
          </w:p>
        </w:tc>
        <w:tc>
          <w:tcPr>
            <w:tcW w:w="3833"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其中：生均财政专项补贴</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50" w:type="dxa"/>
            <w:vMerge w:val="continue"/>
            <w:shd w:val="clear" w:color="auto" w:fill="auto"/>
            <w:vAlign w:val="center"/>
          </w:tcPr>
          <w:p>
            <w:pPr>
              <w:widowControl/>
              <w:jc w:val="left"/>
              <w:rPr>
                <w:rFonts w:ascii="仿宋" w:hAnsi="仿宋" w:eastAsia="仿宋" w:cs="宋体"/>
                <w:kern w:val="0"/>
                <w:szCs w:val="21"/>
              </w:rPr>
            </w:pPr>
          </w:p>
        </w:tc>
        <w:tc>
          <w:tcPr>
            <w:tcW w:w="705" w:type="dxa"/>
            <w:vMerge w:val="continue"/>
            <w:shd w:val="clear" w:color="auto" w:fill="auto"/>
            <w:vAlign w:val="center"/>
          </w:tcPr>
          <w:p>
            <w:pPr>
              <w:widowControl/>
              <w:jc w:val="left"/>
              <w:rPr>
                <w:rFonts w:ascii="仿宋" w:hAnsi="仿宋" w:eastAsia="仿宋" w:cs="宋体"/>
                <w:kern w:val="0"/>
                <w:szCs w:val="21"/>
              </w:rPr>
            </w:pPr>
          </w:p>
        </w:tc>
        <w:tc>
          <w:tcPr>
            <w:tcW w:w="571"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生均企业实习责任保险补贴</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50" w:type="dxa"/>
            <w:vMerge w:val="continue"/>
            <w:shd w:val="clear" w:color="auto" w:fill="auto"/>
            <w:vAlign w:val="center"/>
          </w:tcPr>
          <w:p>
            <w:pPr>
              <w:widowControl/>
              <w:jc w:val="left"/>
              <w:rPr>
                <w:rFonts w:ascii="仿宋" w:hAnsi="仿宋" w:eastAsia="仿宋" w:cs="宋体"/>
                <w:kern w:val="0"/>
                <w:szCs w:val="21"/>
              </w:rPr>
            </w:pPr>
          </w:p>
        </w:tc>
        <w:tc>
          <w:tcPr>
            <w:tcW w:w="705" w:type="dxa"/>
            <w:vMerge w:val="continue"/>
            <w:shd w:val="clear" w:color="auto" w:fill="auto"/>
            <w:vAlign w:val="center"/>
          </w:tcPr>
          <w:p>
            <w:pPr>
              <w:widowControl/>
              <w:jc w:val="left"/>
              <w:rPr>
                <w:rFonts w:ascii="仿宋" w:hAnsi="仿宋" w:eastAsia="仿宋" w:cs="宋体"/>
                <w:kern w:val="0"/>
                <w:szCs w:val="21"/>
              </w:rPr>
            </w:pPr>
          </w:p>
        </w:tc>
        <w:tc>
          <w:tcPr>
            <w:tcW w:w="571" w:type="dxa"/>
            <w:vMerge w:val="continue"/>
            <w:shd w:val="clear" w:color="000000" w:fill="FFFFFF"/>
            <w:vAlign w:val="center"/>
          </w:tcPr>
          <w:p>
            <w:pPr>
              <w:widowControl/>
              <w:jc w:val="center"/>
              <w:rPr>
                <w:rFonts w:ascii="仿宋" w:hAnsi="仿宋" w:eastAsia="仿宋" w:cs="宋体"/>
                <w:kern w:val="0"/>
                <w:szCs w:val="21"/>
              </w:rPr>
            </w:pPr>
          </w:p>
        </w:tc>
        <w:tc>
          <w:tcPr>
            <w:tcW w:w="3833"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其中：生均财政专项补贴</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shd w:val="clear" w:color="auto" w:fill="auto"/>
            <w:vAlign w:val="center"/>
          </w:tcPr>
          <w:p>
            <w:pPr>
              <w:widowControl/>
              <w:jc w:val="left"/>
              <w:rPr>
                <w:rFonts w:ascii="仿宋" w:hAnsi="仿宋" w:eastAsia="仿宋" w:cs="宋体"/>
                <w:kern w:val="0"/>
                <w:szCs w:val="21"/>
              </w:rPr>
            </w:pPr>
          </w:p>
        </w:tc>
        <w:tc>
          <w:tcPr>
            <w:tcW w:w="705" w:type="dxa"/>
            <w:vMerge w:val="continue"/>
            <w:shd w:val="clear" w:color="auto" w:fill="auto"/>
            <w:vAlign w:val="center"/>
          </w:tcPr>
          <w:p>
            <w:pPr>
              <w:widowControl/>
              <w:jc w:val="left"/>
              <w:rPr>
                <w:rFonts w:ascii="仿宋" w:hAnsi="仿宋" w:eastAsia="仿宋" w:cs="宋体"/>
                <w:kern w:val="0"/>
                <w:szCs w:val="21"/>
              </w:rPr>
            </w:pPr>
          </w:p>
        </w:tc>
        <w:tc>
          <w:tcPr>
            <w:tcW w:w="571" w:type="dxa"/>
            <w:vMerge w:val="restart"/>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6</w:t>
            </w: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企业兼职教师年课时总量</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课时</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23503</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22905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shd w:val="clear" w:color="auto" w:fill="auto"/>
            <w:vAlign w:val="center"/>
          </w:tcPr>
          <w:p>
            <w:pPr>
              <w:widowControl/>
              <w:jc w:val="left"/>
              <w:rPr>
                <w:rFonts w:ascii="仿宋" w:hAnsi="仿宋" w:eastAsia="仿宋" w:cs="宋体"/>
                <w:kern w:val="0"/>
                <w:szCs w:val="21"/>
              </w:rPr>
            </w:pPr>
          </w:p>
        </w:tc>
        <w:tc>
          <w:tcPr>
            <w:tcW w:w="705" w:type="dxa"/>
            <w:vMerge w:val="continue"/>
            <w:shd w:val="clear" w:color="auto" w:fill="auto"/>
            <w:vAlign w:val="center"/>
          </w:tcPr>
          <w:p>
            <w:pPr>
              <w:widowControl/>
              <w:jc w:val="left"/>
              <w:rPr>
                <w:rFonts w:ascii="仿宋" w:hAnsi="仿宋" w:eastAsia="仿宋" w:cs="宋体"/>
                <w:kern w:val="0"/>
                <w:szCs w:val="21"/>
              </w:rPr>
            </w:pPr>
          </w:p>
        </w:tc>
        <w:tc>
          <w:tcPr>
            <w:tcW w:w="571" w:type="dxa"/>
            <w:vMerge w:val="continue"/>
            <w:shd w:val="clear" w:color="000000" w:fill="FFFFFF"/>
            <w:vAlign w:val="center"/>
          </w:tcPr>
          <w:p>
            <w:pPr>
              <w:widowControl/>
              <w:rPr>
                <w:rFonts w:ascii="仿宋" w:hAnsi="仿宋" w:eastAsia="仿宋" w:cs="宋体"/>
                <w:kern w:val="0"/>
                <w:szCs w:val="21"/>
              </w:rPr>
            </w:pPr>
          </w:p>
        </w:tc>
        <w:tc>
          <w:tcPr>
            <w:tcW w:w="3833" w:type="dxa"/>
            <w:shd w:val="clear" w:color="000000" w:fill="FFFFFF"/>
            <w:vAlign w:val="center"/>
          </w:tcPr>
          <w:p>
            <w:pPr>
              <w:widowControl/>
              <w:jc w:val="left"/>
              <w:rPr>
                <w:rFonts w:ascii="仿宋" w:hAnsi="仿宋" w:eastAsia="仿宋" w:cs="宋体"/>
                <w:kern w:val="0"/>
                <w:szCs w:val="21"/>
              </w:rPr>
            </w:pPr>
            <w:r>
              <w:rPr>
                <w:rFonts w:hint="eastAsia" w:ascii="仿宋" w:hAnsi="仿宋" w:eastAsia="仿宋" w:cs="宋体"/>
                <w:kern w:val="0"/>
                <w:szCs w:val="21"/>
              </w:rPr>
              <w:t>年支付企业兼职教师课酬</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1509500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1494000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850" w:type="dxa"/>
            <w:vMerge w:val="continue"/>
            <w:shd w:val="clear" w:color="auto" w:fill="auto"/>
            <w:vAlign w:val="center"/>
          </w:tcPr>
          <w:p>
            <w:pPr>
              <w:widowControl/>
              <w:jc w:val="left"/>
              <w:rPr>
                <w:rFonts w:ascii="仿宋" w:hAnsi="仿宋" w:eastAsia="仿宋" w:cs="宋体"/>
                <w:kern w:val="0"/>
                <w:szCs w:val="21"/>
              </w:rPr>
            </w:pPr>
          </w:p>
        </w:tc>
        <w:tc>
          <w:tcPr>
            <w:tcW w:w="705" w:type="dxa"/>
            <w:vMerge w:val="continue"/>
            <w:shd w:val="clear" w:color="auto" w:fill="auto"/>
            <w:vAlign w:val="center"/>
          </w:tcPr>
          <w:p>
            <w:pPr>
              <w:widowControl/>
              <w:jc w:val="left"/>
              <w:rPr>
                <w:rFonts w:ascii="仿宋" w:hAnsi="仿宋" w:eastAsia="仿宋" w:cs="宋体"/>
                <w:kern w:val="0"/>
                <w:szCs w:val="21"/>
              </w:rPr>
            </w:pPr>
          </w:p>
        </w:tc>
        <w:tc>
          <w:tcPr>
            <w:tcW w:w="571" w:type="dxa"/>
            <w:vMerge w:val="continue"/>
            <w:shd w:val="clear" w:color="000000" w:fill="FFFFFF"/>
            <w:vAlign w:val="center"/>
          </w:tcPr>
          <w:p>
            <w:pPr>
              <w:widowControl/>
              <w:jc w:val="center"/>
              <w:rPr>
                <w:rFonts w:ascii="仿宋" w:hAnsi="仿宋" w:eastAsia="仿宋" w:cs="宋体"/>
                <w:kern w:val="0"/>
                <w:szCs w:val="21"/>
              </w:rPr>
            </w:pPr>
          </w:p>
        </w:tc>
        <w:tc>
          <w:tcPr>
            <w:tcW w:w="3833" w:type="dxa"/>
            <w:shd w:val="clear" w:color="000000" w:fill="FFFFFF"/>
            <w:vAlign w:val="center"/>
          </w:tcPr>
          <w:p>
            <w:pPr>
              <w:widowControl/>
              <w:ind w:firstLine="210" w:firstLineChars="100"/>
              <w:jc w:val="left"/>
              <w:rPr>
                <w:rFonts w:ascii="仿宋" w:hAnsi="仿宋" w:eastAsia="仿宋" w:cs="宋体"/>
                <w:kern w:val="0"/>
                <w:szCs w:val="21"/>
              </w:rPr>
            </w:pPr>
            <w:r>
              <w:rPr>
                <w:rFonts w:hint="eastAsia" w:ascii="仿宋" w:hAnsi="仿宋" w:eastAsia="仿宋" w:cs="宋体"/>
                <w:kern w:val="0"/>
                <w:szCs w:val="21"/>
              </w:rPr>
              <w:t>其中：财政专项补贴</w:t>
            </w:r>
          </w:p>
        </w:tc>
        <w:tc>
          <w:tcPr>
            <w:tcW w:w="899"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元</w:t>
            </w:r>
          </w:p>
        </w:tc>
        <w:tc>
          <w:tcPr>
            <w:tcW w:w="1271"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c>
          <w:tcPr>
            <w:tcW w:w="1134" w:type="dxa"/>
            <w:shd w:val="clear" w:color="000000"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0</w:t>
            </w:r>
          </w:p>
        </w:tc>
      </w:tr>
    </w:tbl>
    <w:p>
      <w:pPr>
        <w:spacing w:line="360" w:lineRule="auto"/>
        <w:rPr>
          <w:rFonts w:ascii="仿宋" w:hAnsi="仿宋" w:eastAsia="仿宋"/>
          <w:sz w:val="24"/>
        </w:rPr>
      </w:pPr>
    </w:p>
    <w:sectPr>
      <w:footerReference r:id="rId4" w:type="default"/>
      <w:pgSz w:w="11906" w:h="16838"/>
      <w:pgMar w:top="1440" w:right="1800" w:bottom="1440" w:left="1800" w:header="85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FZSSJW--GB1-0">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DotumChe">
    <w:panose1 w:val="020B0609000101010101"/>
    <w:charset w:val="81"/>
    <w:family w:val="modern"/>
    <w:pitch w:val="default"/>
    <w:sig w:usb0="B00002AF" w:usb1="69D77CFB" w:usb2="00000030" w:usb3="00000000" w:csb0="4008009F" w:csb1="DFD7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8394749"/>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C8"/>
    <w:rsid w:val="0001245E"/>
    <w:rsid w:val="00034E1A"/>
    <w:rsid w:val="000424ED"/>
    <w:rsid w:val="00045780"/>
    <w:rsid w:val="00087ABD"/>
    <w:rsid w:val="000B6611"/>
    <w:rsid w:val="000D6C84"/>
    <w:rsid w:val="00104A6E"/>
    <w:rsid w:val="00105949"/>
    <w:rsid w:val="00113CD9"/>
    <w:rsid w:val="00124A35"/>
    <w:rsid w:val="001319AD"/>
    <w:rsid w:val="001521D3"/>
    <w:rsid w:val="001545FF"/>
    <w:rsid w:val="001F441B"/>
    <w:rsid w:val="00231CE9"/>
    <w:rsid w:val="002557DE"/>
    <w:rsid w:val="00284BA3"/>
    <w:rsid w:val="002A40A3"/>
    <w:rsid w:val="002C3B25"/>
    <w:rsid w:val="002F37CE"/>
    <w:rsid w:val="002F4769"/>
    <w:rsid w:val="00301E2A"/>
    <w:rsid w:val="00332186"/>
    <w:rsid w:val="00353C79"/>
    <w:rsid w:val="00381FE9"/>
    <w:rsid w:val="00396728"/>
    <w:rsid w:val="003A43FD"/>
    <w:rsid w:val="003D154B"/>
    <w:rsid w:val="004074CB"/>
    <w:rsid w:val="004177F6"/>
    <w:rsid w:val="00430738"/>
    <w:rsid w:val="0043095E"/>
    <w:rsid w:val="00502D79"/>
    <w:rsid w:val="005357FC"/>
    <w:rsid w:val="005B1BB2"/>
    <w:rsid w:val="005F58C7"/>
    <w:rsid w:val="006055F5"/>
    <w:rsid w:val="00606DB8"/>
    <w:rsid w:val="006507E5"/>
    <w:rsid w:val="00653D19"/>
    <w:rsid w:val="006547DF"/>
    <w:rsid w:val="00654957"/>
    <w:rsid w:val="00662997"/>
    <w:rsid w:val="006A7A58"/>
    <w:rsid w:val="006E5F2E"/>
    <w:rsid w:val="007004B4"/>
    <w:rsid w:val="00765930"/>
    <w:rsid w:val="00781EA2"/>
    <w:rsid w:val="00792174"/>
    <w:rsid w:val="00803EBF"/>
    <w:rsid w:val="0081338C"/>
    <w:rsid w:val="00821918"/>
    <w:rsid w:val="00824361"/>
    <w:rsid w:val="008326D8"/>
    <w:rsid w:val="00841D9C"/>
    <w:rsid w:val="008820B2"/>
    <w:rsid w:val="008D762A"/>
    <w:rsid w:val="00930DA2"/>
    <w:rsid w:val="00952CA5"/>
    <w:rsid w:val="00970850"/>
    <w:rsid w:val="00996B3F"/>
    <w:rsid w:val="009B1D3E"/>
    <w:rsid w:val="009F44CF"/>
    <w:rsid w:val="00B07D04"/>
    <w:rsid w:val="00B16E93"/>
    <w:rsid w:val="00B31393"/>
    <w:rsid w:val="00B4079E"/>
    <w:rsid w:val="00B40E50"/>
    <w:rsid w:val="00B42C67"/>
    <w:rsid w:val="00B54915"/>
    <w:rsid w:val="00B9544D"/>
    <w:rsid w:val="00B959F4"/>
    <w:rsid w:val="00BB7770"/>
    <w:rsid w:val="00BC035B"/>
    <w:rsid w:val="00BE0239"/>
    <w:rsid w:val="00BE1108"/>
    <w:rsid w:val="00BF55C8"/>
    <w:rsid w:val="00C026E9"/>
    <w:rsid w:val="00C036C3"/>
    <w:rsid w:val="00C159FA"/>
    <w:rsid w:val="00C210F3"/>
    <w:rsid w:val="00C333DA"/>
    <w:rsid w:val="00C73F92"/>
    <w:rsid w:val="00C90A02"/>
    <w:rsid w:val="00CA5F3F"/>
    <w:rsid w:val="00D10472"/>
    <w:rsid w:val="00D65E3C"/>
    <w:rsid w:val="00D66582"/>
    <w:rsid w:val="00D86346"/>
    <w:rsid w:val="00DB012C"/>
    <w:rsid w:val="00DC4AF8"/>
    <w:rsid w:val="00DE26B3"/>
    <w:rsid w:val="00E461E3"/>
    <w:rsid w:val="00E51AF9"/>
    <w:rsid w:val="00E529CC"/>
    <w:rsid w:val="00E710E4"/>
    <w:rsid w:val="00EB6A77"/>
    <w:rsid w:val="00EB7814"/>
    <w:rsid w:val="00EC46AA"/>
    <w:rsid w:val="00ED292F"/>
    <w:rsid w:val="00EF087F"/>
    <w:rsid w:val="00F51711"/>
    <w:rsid w:val="00F8460A"/>
    <w:rsid w:val="00FD4562"/>
    <w:rsid w:val="16FF3BE9"/>
    <w:rsid w:val="207F7802"/>
    <w:rsid w:val="2A3E7BD8"/>
    <w:rsid w:val="454632AB"/>
    <w:rsid w:val="46985BBF"/>
    <w:rsid w:val="4D2E6401"/>
    <w:rsid w:val="548C1E3B"/>
    <w:rsid w:val="6EA526D4"/>
    <w:rsid w:val="727718CE"/>
    <w:rsid w:val="75BF1B99"/>
    <w:rsid w:val="79284FF3"/>
    <w:rsid w:val="7D3C0F99"/>
    <w:rsid w:val="7DF01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nhideWhenUsed="0"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qFormat/>
    <w:uiPriority w:val="9"/>
    <w:pPr>
      <w:keepNext/>
      <w:keepLines/>
      <w:spacing w:before="260" w:after="260" w:line="413" w:lineRule="auto"/>
      <w:outlineLvl w:val="2"/>
    </w:pPr>
    <w:rPr>
      <w:b/>
      <w:sz w:val="32"/>
    </w:rPr>
  </w:style>
  <w:style w:type="paragraph" w:styleId="5">
    <w:name w:val="heading 4"/>
    <w:basedOn w:val="1"/>
    <w:next w:val="1"/>
    <w:link w:val="3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6">
    <w:name w:val="caption"/>
    <w:basedOn w:val="1"/>
    <w:next w:val="1"/>
    <w:unhideWhenUsed/>
    <w:qFormat/>
    <w:uiPriority w:val="35"/>
    <w:pPr>
      <w:widowControl/>
      <w:spacing w:after="200"/>
      <w:jc w:val="left"/>
    </w:pPr>
    <w:rPr>
      <w:i/>
      <w:iCs/>
      <w:color w:val="44546A"/>
      <w:kern w:val="0"/>
      <w:sz w:val="18"/>
      <w:szCs w:val="18"/>
    </w:rPr>
  </w:style>
  <w:style w:type="paragraph" w:styleId="7">
    <w:name w:val="Body Text Indent"/>
    <w:basedOn w:val="1"/>
    <w:link w:val="25"/>
    <w:unhideWhenUsed/>
    <w:qFormat/>
    <w:uiPriority w:val="99"/>
    <w:pPr>
      <w:spacing w:after="120"/>
      <w:ind w:left="420" w:leftChars="200"/>
    </w:pPr>
  </w:style>
  <w:style w:type="paragraph" w:styleId="8">
    <w:name w:val="Balloon Text"/>
    <w:basedOn w:val="1"/>
    <w:link w:val="29"/>
    <w:semiHidden/>
    <w:unhideWhenUsed/>
    <w:qFormat/>
    <w:uiPriority w:val="99"/>
    <w:rPr>
      <w:sz w:val="18"/>
      <w:szCs w:val="18"/>
    </w:rPr>
  </w:style>
  <w:style w:type="paragraph" w:styleId="9">
    <w:name w:val="footer"/>
    <w:basedOn w:val="1"/>
    <w:link w:val="24"/>
    <w:unhideWhenUsed/>
    <w:uiPriority w:val="99"/>
    <w:pPr>
      <w:tabs>
        <w:tab w:val="center" w:pos="4153"/>
        <w:tab w:val="right" w:pos="8306"/>
      </w:tabs>
      <w:snapToGrid w:val="0"/>
      <w:jc w:val="left"/>
    </w:pPr>
    <w:rPr>
      <w:sz w:val="18"/>
      <w:szCs w:val="18"/>
    </w:rPr>
  </w:style>
  <w:style w:type="paragraph" w:styleId="10">
    <w:name w:val="Body Text First Indent 2"/>
    <w:basedOn w:val="7"/>
    <w:link w:val="26"/>
    <w:unhideWhenUsed/>
    <w:qFormat/>
    <w:uiPriority w:val="0"/>
    <w:pPr>
      <w:ind w:firstLine="420" w:firstLineChars="200"/>
    </w:pPr>
    <w:rPr>
      <w:rFonts w:ascii="Times New Roman" w:hAnsi="Times New Roman"/>
    </w:rPr>
  </w:style>
  <w:style w:type="paragraph" w:styleId="11">
    <w:name w:val="header"/>
    <w:basedOn w:val="1"/>
    <w:link w:val="23"/>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toc 2"/>
    <w:basedOn w:val="1"/>
    <w:next w:val="1"/>
    <w:unhideWhenUsed/>
    <w:uiPriority w:val="39"/>
    <w:pPr>
      <w:ind w:left="420" w:leftChars="200"/>
    </w:pPr>
  </w:style>
  <w:style w:type="paragraph" w:styleId="14">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character" w:styleId="16">
    <w:name w:val="FollowedHyperlink"/>
    <w:basedOn w:val="15"/>
    <w:semiHidden/>
    <w:unhideWhenUsed/>
    <w:uiPriority w:val="99"/>
    <w:rPr>
      <w:color w:val="666666"/>
      <w:u w:val="none"/>
    </w:rPr>
  </w:style>
  <w:style w:type="character" w:styleId="17">
    <w:name w:val="Emphasis"/>
    <w:basedOn w:val="15"/>
    <w:qFormat/>
    <w:uiPriority w:val="20"/>
  </w:style>
  <w:style w:type="character" w:styleId="18">
    <w:name w:val="Hyperlink"/>
    <w:basedOn w:val="15"/>
    <w:unhideWhenUsed/>
    <w:uiPriority w:val="99"/>
    <w:rPr>
      <w:color w:val="0000FF" w:themeColor="hyperlink"/>
      <w:u w:val="single"/>
      <w14:textFill>
        <w14:solidFill>
          <w14:schemeClr w14:val="hlink"/>
        </w14:solidFill>
      </w14:textFill>
    </w:rPr>
  </w:style>
  <w:style w:type="table" w:styleId="20">
    <w:name w:val="Table Grid"/>
    <w:basedOn w:val="19"/>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标题 1 Char"/>
    <w:basedOn w:val="15"/>
    <w:link w:val="2"/>
    <w:uiPriority w:val="9"/>
    <w:rPr>
      <w:rFonts w:ascii="Calibri" w:hAnsi="Calibri" w:eastAsia="宋体" w:cs="Times New Roman"/>
      <w:b/>
      <w:bCs/>
      <w:kern w:val="44"/>
      <w:sz w:val="44"/>
      <w:szCs w:val="44"/>
    </w:rPr>
  </w:style>
  <w:style w:type="character" w:customStyle="1" w:styleId="22">
    <w:name w:val="标题 2 Char"/>
    <w:basedOn w:val="15"/>
    <w:link w:val="3"/>
    <w:uiPriority w:val="99"/>
    <w:rPr>
      <w:rFonts w:asciiTheme="majorHAnsi" w:hAnsiTheme="majorHAnsi" w:eastAsiaTheme="majorEastAsia" w:cstheme="majorBidi"/>
      <w:b/>
      <w:bCs/>
      <w:sz w:val="32"/>
      <w:szCs w:val="32"/>
    </w:rPr>
  </w:style>
  <w:style w:type="character" w:customStyle="1" w:styleId="23">
    <w:name w:val="页眉 Char"/>
    <w:basedOn w:val="15"/>
    <w:link w:val="11"/>
    <w:uiPriority w:val="0"/>
    <w:rPr>
      <w:rFonts w:ascii="Calibri" w:hAnsi="Calibri" w:eastAsia="宋体" w:cs="Times New Roman"/>
      <w:sz w:val="18"/>
      <w:szCs w:val="18"/>
    </w:rPr>
  </w:style>
  <w:style w:type="character" w:customStyle="1" w:styleId="24">
    <w:name w:val="页脚 Char"/>
    <w:basedOn w:val="15"/>
    <w:link w:val="9"/>
    <w:uiPriority w:val="99"/>
    <w:rPr>
      <w:rFonts w:ascii="Calibri" w:hAnsi="Calibri" w:eastAsia="宋体" w:cs="Times New Roman"/>
      <w:sz w:val="18"/>
      <w:szCs w:val="18"/>
    </w:rPr>
  </w:style>
  <w:style w:type="character" w:customStyle="1" w:styleId="25">
    <w:name w:val="正文文本缩进 Char"/>
    <w:basedOn w:val="15"/>
    <w:link w:val="7"/>
    <w:semiHidden/>
    <w:uiPriority w:val="99"/>
    <w:rPr>
      <w:rFonts w:ascii="Calibri" w:hAnsi="Calibri" w:eastAsia="宋体" w:cs="Times New Roman"/>
      <w:szCs w:val="24"/>
    </w:rPr>
  </w:style>
  <w:style w:type="character" w:customStyle="1" w:styleId="26">
    <w:name w:val="正文首行缩进 2 Char"/>
    <w:basedOn w:val="25"/>
    <w:link w:val="10"/>
    <w:qFormat/>
    <w:uiPriority w:val="0"/>
    <w:rPr>
      <w:rFonts w:ascii="Times New Roman" w:hAnsi="Times New Roman" w:eastAsia="宋体" w:cs="Times New Roman"/>
      <w:szCs w:val="24"/>
    </w:rPr>
  </w:style>
  <w:style w:type="paragraph" w:customStyle="1" w:styleId="27">
    <w:name w:val="p0"/>
    <w:basedOn w:val="1"/>
    <w:qFormat/>
    <w:uiPriority w:val="0"/>
    <w:pPr>
      <w:widowControl/>
    </w:pPr>
    <w:rPr>
      <w:rFonts w:ascii="Times New Roman" w:hAnsi="Times New Roman"/>
      <w:kern w:val="0"/>
      <w:szCs w:val="21"/>
    </w:rPr>
  </w:style>
  <w:style w:type="paragraph" w:customStyle="1" w:styleId="28">
    <w:name w:val="正文图标题"/>
    <w:next w:val="1"/>
    <w:uiPriority w:val="0"/>
    <w:pPr>
      <w:spacing w:beforeLines="50"/>
      <w:jc w:val="center"/>
    </w:pPr>
    <w:rPr>
      <w:rFonts w:ascii="黑体" w:hAnsi="Times New Roman" w:eastAsia="黑体" w:cs="Times New Roman"/>
      <w:sz w:val="21"/>
      <w:lang w:val="en-US" w:eastAsia="zh-CN" w:bidi="ar-SA"/>
    </w:rPr>
  </w:style>
  <w:style w:type="character" w:customStyle="1" w:styleId="29">
    <w:name w:val="批注框文本 Char"/>
    <w:basedOn w:val="15"/>
    <w:link w:val="8"/>
    <w:semiHidden/>
    <w:uiPriority w:val="99"/>
    <w:rPr>
      <w:rFonts w:ascii="Calibri" w:hAnsi="Calibri" w:eastAsia="宋体" w:cs="Times New Roman"/>
      <w:sz w:val="18"/>
      <w:szCs w:val="18"/>
    </w:rPr>
  </w:style>
  <w:style w:type="character" w:customStyle="1" w:styleId="30">
    <w:name w:val="标题 4 Char"/>
    <w:basedOn w:val="15"/>
    <w:link w:val="5"/>
    <w:uiPriority w:val="0"/>
    <w:rPr>
      <w:rFonts w:asciiTheme="majorHAnsi" w:hAnsiTheme="majorHAnsi" w:eastAsiaTheme="majorEastAsia" w:cstheme="majorBidi"/>
      <w:b/>
      <w:bCs/>
      <w:sz w:val="28"/>
      <w:szCs w:val="28"/>
    </w:rPr>
  </w:style>
  <w:style w:type="character" w:customStyle="1" w:styleId="31">
    <w:name w:val="标题 3 Char"/>
    <w:basedOn w:val="15"/>
    <w:link w:val="4"/>
    <w:qFormat/>
    <w:uiPriority w:val="9"/>
    <w:rPr>
      <w:rFonts w:ascii="Calibri" w:hAnsi="Calibri" w:eastAsia="宋体" w:cs="Times New Roman"/>
      <w:b/>
      <w:sz w:val="32"/>
      <w:szCs w:val="24"/>
    </w:rPr>
  </w:style>
  <w:style w:type="character" w:customStyle="1" w:styleId="32">
    <w:name w:val="fontstyle01"/>
    <w:qFormat/>
    <w:uiPriority w:val="0"/>
    <w:rPr>
      <w:rFonts w:hint="default" w:ascii="FZSSJW--GB1-0" w:hAnsi="FZSSJW--GB1-0"/>
      <w:color w:val="231F20"/>
      <w:sz w:val="22"/>
      <w:szCs w:val="22"/>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样式1"/>
    <w:basedOn w:val="1"/>
    <w:uiPriority w:val="99"/>
    <w:pPr>
      <w:spacing w:line="360" w:lineRule="auto"/>
    </w:pPr>
    <w:rPr>
      <w:rFonts w:ascii="Times New Roman" w:hAnsi="Times New Roman"/>
      <w:b/>
      <w:bCs/>
      <w:kern w:val="0"/>
      <w:sz w:val="24"/>
    </w:rPr>
  </w:style>
  <w:style w:type="paragraph" w:styleId="35">
    <w:name w:val="List Paragraph"/>
    <w:basedOn w:val="1"/>
    <w:qFormat/>
    <w:uiPriority w:val="99"/>
    <w:pPr>
      <w:ind w:firstLine="420" w:firstLineChars="200"/>
    </w:pPr>
  </w:style>
  <w:style w:type="paragraph" w:customStyle="1" w:styleId="36">
    <w:name w:val="WPSOffice手动目录 1"/>
    <w:qFormat/>
    <w:uiPriority w:val="0"/>
    <w:rPr>
      <w:rFonts w:ascii="Times New Roman" w:hAnsi="Times New Roman" w:eastAsia="宋体" w:cs="Times New Roman"/>
      <w:lang w:val="en-US" w:eastAsia="zh-CN" w:bidi="ar-SA"/>
    </w:rPr>
  </w:style>
  <w:style w:type="table" w:customStyle="1" w:styleId="37">
    <w:name w:val="网格型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9">
    <w:name w:val="sf-sub-indicator"/>
    <w:basedOn w:val="15"/>
    <w:uiPriority w:val="0"/>
    <w:rPr>
      <w:vanish/>
    </w:rPr>
  </w:style>
  <w:style w:type="character" w:customStyle="1" w:styleId="40">
    <w:name w:val="time"/>
    <w:basedOn w:val="15"/>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emf"/><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emf"/><Relationship Id="rId3" Type="http://schemas.openxmlformats.org/officeDocument/2006/relationships/footer" Target="footer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BDAF4-FF7C-4EED-8659-28C3160F4B8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5371</Words>
  <Characters>30617</Characters>
  <Lines>255</Lines>
  <Paragraphs>71</Paragraphs>
  <TotalTime>4</TotalTime>
  <ScaleCrop>false</ScaleCrop>
  <LinksUpToDate>false</LinksUpToDate>
  <CharactersWithSpaces>35917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2018-12-24T04:07:00Z</dcterms:created>
  <dc:creator>ldj</dc:creator>
  <cp:lastModifiedBy>ldj</cp:lastModifiedBy>
  <dcterms:modified xsi:type="dcterms:W3CDTF">2018-12-25T01:44:49Z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