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58" w:rsidRPr="00833551" w:rsidRDefault="00B76B58" w:rsidP="00833551">
      <w:pPr>
        <w:pStyle w:val="Heading2"/>
        <w:jc w:val="left"/>
        <w:rPr>
          <w:rStyle w:val="Hyperlink"/>
          <w:rFonts w:ascii="宋体" w:cs="Times New Roman"/>
          <w:b w:val="0"/>
          <w:bCs w:val="0"/>
          <w:color w:val="auto"/>
          <w:u w:val="none"/>
        </w:rPr>
      </w:pPr>
      <w:bookmarkStart w:id="0" w:name="_Toc434583088"/>
      <w:r w:rsidRPr="00833551">
        <w:rPr>
          <w:rStyle w:val="Hyperlink"/>
          <w:rFonts w:ascii="宋体" w:hAnsi="宋体" w:cs="宋体" w:hint="eastAsia"/>
          <w:b w:val="0"/>
          <w:bCs w:val="0"/>
          <w:color w:val="auto"/>
          <w:u w:val="none"/>
        </w:rPr>
        <w:t>预算：</w:t>
      </w:r>
      <w:r w:rsidRPr="00833551">
        <w:rPr>
          <w:rStyle w:val="Hyperlink"/>
          <w:rFonts w:ascii="宋体" w:hAnsi="宋体" w:cs="宋体"/>
          <w:b w:val="0"/>
          <w:bCs w:val="0"/>
          <w:color w:val="auto"/>
          <w:u w:val="none"/>
        </w:rPr>
        <w:t>2017</w:t>
      </w:r>
      <w:r>
        <w:rPr>
          <w:rStyle w:val="Hyperlink"/>
          <w:rFonts w:ascii="宋体" w:cs="宋体"/>
          <w:b w:val="0"/>
          <w:bCs w:val="0"/>
          <w:color w:val="auto"/>
          <w:u w:val="none"/>
        </w:rPr>
        <w:t>-</w:t>
      </w:r>
      <w:r w:rsidRPr="00833551">
        <w:rPr>
          <w:rStyle w:val="Hyperlink"/>
          <w:rFonts w:ascii="宋体" w:hAnsi="宋体" w:cs="宋体"/>
          <w:b w:val="0"/>
          <w:bCs w:val="0"/>
          <w:color w:val="auto"/>
          <w:u w:val="none"/>
        </w:rPr>
        <w:t>2018</w:t>
      </w:r>
      <w:r w:rsidRPr="00833551">
        <w:rPr>
          <w:rStyle w:val="Hyperlink"/>
          <w:rFonts w:ascii="宋体" w:hAnsi="宋体" w:cs="宋体" w:hint="eastAsia"/>
          <w:b w:val="0"/>
          <w:bCs w:val="0"/>
          <w:color w:val="auto"/>
          <w:u w:val="none"/>
        </w:rPr>
        <w:t>年</w:t>
      </w:r>
      <w:r>
        <w:rPr>
          <w:rStyle w:val="Hyperlink"/>
          <w:rFonts w:ascii="宋体" w:hAnsi="宋体" w:cs="宋体" w:hint="eastAsia"/>
          <w:b w:val="0"/>
          <w:bCs w:val="0"/>
          <w:color w:val="auto"/>
          <w:u w:val="none"/>
        </w:rPr>
        <w:t>共</w:t>
      </w:r>
      <w:r>
        <w:rPr>
          <w:rStyle w:val="Hyperlink"/>
          <w:rFonts w:ascii="宋体" w:hAnsi="宋体" w:cs="宋体"/>
          <w:b w:val="0"/>
          <w:bCs w:val="0"/>
          <w:color w:val="auto"/>
          <w:u w:val="none"/>
        </w:rPr>
        <w:t>4</w:t>
      </w:r>
      <w:r w:rsidRPr="00833551">
        <w:rPr>
          <w:rStyle w:val="Hyperlink"/>
          <w:rFonts w:ascii="宋体" w:hAnsi="宋体" w:cs="宋体" w:hint="eastAsia"/>
          <w:b w:val="0"/>
          <w:bCs w:val="0"/>
          <w:color w:val="auto"/>
          <w:u w:val="none"/>
        </w:rPr>
        <w:t>万元</w:t>
      </w:r>
    </w:p>
    <w:p w:rsidR="00B76B58" w:rsidRDefault="00B76B58">
      <w:pPr>
        <w:pStyle w:val="Heading2"/>
        <w:jc w:val="center"/>
        <w:rPr>
          <w:rStyle w:val="Hyperlink"/>
          <w:rFonts w:ascii="宋体" w:cs="Times New Roman"/>
          <w:color w:val="auto"/>
          <w:u w:val="none"/>
        </w:rPr>
      </w:pPr>
      <w:r>
        <w:rPr>
          <w:rStyle w:val="Hyperlink"/>
          <w:rFonts w:ascii="宋体" w:hAnsi="宋体" w:cs="宋体"/>
          <w:color w:val="auto"/>
          <w:u w:val="none"/>
        </w:rPr>
        <w:t>2017-2018</w:t>
      </w:r>
      <w:r>
        <w:rPr>
          <w:rStyle w:val="Hyperlink"/>
          <w:rFonts w:ascii="宋体" w:hAnsi="宋体" w:cs="宋体" w:hint="eastAsia"/>
          <w:color w:val="auto"/>
          <w:u w:val="none"/>
        </w:rPr>
        <w:t>年</w:t>
      </w:r>
      <w:r w:rsidRPr="003F27CE">
        <w:rPr>
          <w:rStyle w:val="Hyperlink"/>
          <w:rFonts w:ascii="宋体" w:hAnsi="宋体" w:cs="宋体" w:hint="eastAsia"/>
          <w:color w:val="auto"/>
          <w:u w:val="none"/>
        </w:rPr>
        <w:t>超星移动图书馆</w:t>
      </w:r>
      <w:r>
        <w:rPr>
          <w:rStyle w:val="Hyperlink"/>
          <w:rFonts w:ascii="宋体" w:hAnsi="宋体" w:cs="宋体" w:hint="eastAsia"/>
          <w:color w:val="auto"/>
          <w:u w:val="none"/>
        </w:rPr>
        <w:t>采购</w:t>
      </w:r>
      <w:r w:rsidRPr="003F27CE">
        <w:rPr>
          <w:rStyle w:val="Hyperlink"/>
          <w:rFonts w:ascii="宋体" w:hAnsi="宋体" w:cs="宋体" w:hint="eastAsia"/>
          <w:color w:val="auto"/>
          <w:u w:val="none"/>
        </w:rPr>
        <w:t>技术参数</w:t>
      </w:r>
    </w:p>
    <w:p w:rsidR="00B76B58" w:rsidRPr="00507587" w:rsidRDefault="00B76B58" w:rsidP="00D001C0">
      <w:pPr>
        <w:pStyle w:val="PlainText"/>
        <w:spacing w:beforeLines="50" w:afterLines="50" w:line="264" w:lineRule="auto"/>
        <w:rPr>
          <w:rFonts w:ascii="黑体" w:eastAsia="黑体" w:cs="Times New Roman"/>
          <w:sz w:val="24"/>
          <w:szCs w:val="24"/>
        </w:rPr>
      </w:pPr>
      <w:r w:rsidRPr="00507587">
        <w:rPr>
          <w:rFonts w:ascii="黑体" w:eastAsia="黑体" w:cs="黑体"/>
          <w:sz w:val="24"/>
          <w:szCs w:val="24"/>
        </w:rPr>
        <w:t>1</w:t>
      </w:r>
      <w:r w:rsidRPr="00507587">
        <w:rPr>
          <w:rFonts w:ascii="黑体" w:eastAsia="黑体" w:cs="黑体" w:hint="eastAsia"/>
          <w:sz w:val="24"/>
          <w:szCs w:val="24"/>
        </w:rPr>
        <w:t>、采购内容</w:t>
      </w:r>
    </w:p>
    <w:p w:rsidR="00B76B58" w:rsidRDefault="00B76B58" w:rsidP="006E5F00">
      <w:pPr>
        <w:spacing w:line="48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）甲方购买的产品为“移动图书馆”平台。</w:t>
      </w:r>
    </w:p>
    <w:p w:rsidR="00B76B58" w:rsidRDefault="00B76B58" w:rsidP="000B4954">
      <w:pPr>
        <w:spacing w:line="420" w:lineRule="atLeast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移动图书馆平台的设计坚持以移动无线通讯网络为支撑，以图书馆集成管理系统平台和基于元数据的信息资源整合为基础，以适应移动终端一站式信息搜索应用为核心，以云共享服务为保障，通过手机、</w:t>
      </w:r>
      <w:r>
        <w:rPr>
          <w:rFonts w:ascii="宋体" w:hAnsi="宋体" w:cs="宋体"/>
          <w:sz w:val="24"/>
          <w:szCs w:val="24"/>
        </w:rPr>
        <w:t>iPad</w:t>
      </w:r>
      <w:r>
        <w:rPr>
          <w:rFonts w:ascii="宋体" w:hAnsi="宋体" w:cs="宋体" w:hint="eastAsia"/>
          <w:sz w:val="24"/>
          <w:szCs w:val="24"/>
        </w:rPr>
        <w:t>、等手持移动终端设备，为图书馆用户提供搜索和阅读数字信息资源，自助查询和完成借阅业务，为实现数字图书馆最初的梦想：任何人，在任何时间、任何地点获取所需要的知识构建现代图书馆信息移动服务平台。</w:t>
      </w:r>
    </w:p>
    <w:p w:rsidR="00B76B58" w:rsidRDefault="00B76B58" w:rsidP="006E5F00">
      <w:pPr>
        <w:spacing w:line="48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）移动图书馆平台包括：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5954"/>
      </w:tblGrid>
      <w:tr w:rsidR="00B76B58"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模块名称</w:t>
            </w:r>
          </w:p>
        </w:tc>
        <w:tc>
          <w:tcPr>
            <w:tcW w:w="5954" w:type="dxa"/>
          </w:tcPr>
          <w:p w:rsidR="00B76B58" w:rsidRDefault="00B76B58" w:rsidP="00CF43C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  <w:szCs w:val="24"/>
              </w:rPr>
              <w:t>服务参数</w:t>
            </w:r>
          </w:p>
        </w:tc>
      </w:tr>
      <w:tr w:rsidR="00B76B58"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信息发布管理模块</w:t>
            </w:r>
          </w:p>
        </w:tc>
        <w:tc>
          <w:tcPr>
            <w:tcW w:w="5954" w:type="dxa"/>
          </w:tcPr>
          <w:p w:rsidR="00B76B58" w:rsidRDefault="00B76B58" w:rsidP="00CF43C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实现新闻发布，信息推送，培训公告，在线交流，统计功能。</w:t>
            </w:r>
          </w:p>
        </w:tc>
      </w:tr>
      <w:tr w:rsidR="00B76B58"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在线检索阅读模块</w:t>
            </w:r>
          </w:p>
        </w:tc>
        <w:tc>
          <w:tcPr>
            <w:tcW w:w="5954" w:type="dxa"/>
          </w:tcPr>
          <w:p w:rsidR="00B76B58" w:rsidRPr="007B6FB2" w:rsidRDefault="00B76B58" w:rsidP="00CF43C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整合图书馆中外文资源，提供移动设备一站式检索，在线阅读、下载。在移动终端上实现资源的一站式搜索、导航和全文获取服务。</w:t>
            </w:r>
          </w:p>
        </w:tc>
      </w:tr>
      <w:tr w:rsidR="00B76B58"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资源共享云服务</w:t>
            </w:r>
          </w:p>
        </w:tc>
        <w:tc>
          <w:tcPr>
            <w:tcW w:w="5954" w:type="dxa"/>
          </w:tcPr>
          <w:p w:rsidR="00B76B58" w:rsidRPr="00421BFF" w:rsidRDefault="00B76B58" w:rsidP="00B76B58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接入功能强大的云共享服务体系，平台提供</w:t>
            </w:r>
            <w:r>
              <w:rPr>
                <w:rFonts w:ascii="宋体" w:hAnsi="宋体" w:cs="宋体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sz w:val="24"/>
                <w:szCs w:val="24"/>
              </w:rPr>
              <w:t>小时云传递服务，无论是电子图书还是期刊论文，都可以通过邮箱接受到电子全文。充分考虑到手机阅读的特点，超星移动图书馆专门提供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万多本</w:t>
            </w:r>
            <w:r>
              <w:rPr>
                <w:rFonts w:ascii="宋体" w:hAnsi="宋体" w:cs="宋体"/>
                <w:sz w:val="24"/>
                <w:szCs w:val="24"/>
              </w:rPr>
              <w:t>epub</w:t>
            </w:r>
            <w:r>
              <w:rPr>
                <w:rFonts w:ascii="宋体" w:hAnsi="宋体" w:cs="宋体" w:hint="eastAsia"/>
                <w:sz w:val="24"/>
                <w:szCs w:val="24"/>
              </w:rPr>
              <w:t>电子图书、</w:t>
            </w:r>
            <w:r>
              <w:rPr>
                <w:rFonts w:ascii="宋体" w:hAnsi="宋体" w:cs="宋体"/>
                <w:sz w:val="24"/>
                <w:szCs w:val="24"/>
              </w:rPr>
              <w:t>78</w:t>
            </w:r>
            <w:r>
              <w:rPr>
                <w:rFonts w:ascii="宋体" w:cs="宋体"/>
                <w:sz w:val="24"/>
                <w:szCs w:val="24"/>
              </w:rPr>
              <w:t>00</w:t>
            </w:r>
            <w:r>
              <w:rPr>
                <w:rFonts w:ascii="宋体" w:hAnsi="宋体" w:cs="宋体" w:hint="eastAsia"/>
                <w:sz w:val="24"/>
                <w:szCs w:val="24"/>
              </w:rPr>
              <w:t>多万篇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报纸</w:t>
            </w:r>
            <w:r>
              <w:rPr>
                <w:rFonts w:ascii="宋体" w:hAnsi="宋体" w:cs="宋体" w:hint="eastAsia"/>
                <w:sz w:val="24"/>
                <w:szCs w:val="24"/>
              </w:rPr>
              <w:t>全文供手机用户阅读使用。</w:t>
            </w:r>
          </w:p>
        </w:tc>
      </w:tr>
      <w:tr w:rsidR="00B76B58"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移动</w:t>
            </w:r>
            <w:r>
              <w:rPr>
                <w:rFonts w:ascii="黑体" w:eastAsia="黑体" w:hAnsi="黑体" w:cs="黑体"/>
                <w:color w:val="000000"/>
                <w:sz w:val="24"/>
                <w:szCs w:val="24"/>
              </w:rPr>
              <w:t>OPAC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5954" w:type="dxa"/>
          </w:tcPr>
          <w:p w:rsidR="00B76B58" w:rsidRDefault="00B76B58" w:rsidP="00B76B58">
            <w:pPr>
              <w:ind w:firstLineChars="14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实现移动</w:t>
            </w:r>
            <w:r>
              <w:rPr>
                <w:rFonts w:ascii="宋体" w:hAnsi="宋体" w:cs="宋体"/>
                <w:sz w:val="24"/>
                <w:szCs w:val="24"/>
              </w:rPr>
              <w:t>OPAC</w:t>
            </w:r>
            <w:r>
              <w:rPr>
                <w:rFonts w:ascii="宋体" w:hAnsi="宋体" w:cs="宋体" w:hint="eastAsia"/>
                <w:sz w:val="24"/>
                <w:szCs w:val="24"/>
              </w:rPr>
              <w:t>，馆藏在线借阅，查询，预约，续借，到期催还等。实现与图书馆主页信息同步发布。</w:t>
            </w:r>
          </w:p>
          <w:p w:rsidR="00B76B58" w:rsidRPr="00421BFF" w:rsidRDefault="00B76B58" w:rsidP="00B76B58">
            <w:pPr>
              <w:ind w:firstLineChars="14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通过设置个人空间与图书馆</w:t>
            </w:r>
            <w:r>
              <w:rPr>
                <w:rFonts w:ascii="宋体" w:hAnsi="宋体" w:cs="宋体"/>
                <w:sz w:val="24"/>
                <w:szCs w:val="24"/>
              </w:rPr>
              <w:t>OPAC</w:t>
            </w:r>
            <w:r>
              <w:rPr>
                <w:rFonts w:ascii="宋体" w:hAnsi="宋体" w:cs="宋体" w:hint="eastAsia"/>
                <w:sz w:val="24"/>
                <w:szCs w:val="24"/>
              </w:rPr>
              <w:t>系统的对接，实现了馆藏查询、续借、预约、挂失、到期提醒、热门书排行榜、咨询等自助式移动服务。并可以自由选择新闻发布、公告（通知）、新书推荐、借书到期提醒、热门书推荐、预约取书通知等信息交流功能。</w:t>
            </w:r>
          </w:p>
        </w:tc>
      </w:tr>
      <w:tr w:rsidR="00B76B58"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个性化订阅服务</w:t>
            </w:r>
          </w:p>
        </w:tc>
        <w:tc>
          <w:tcPr>
            <w:tcW w:w="5954" w:type="dxa"/>
          </w:tcPr>
          <w:p w:rsidR="00B76B58" w:rsidRDefault="00B76B58" w:rsidP="00B76B58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移动图书馆集成</w:t>
            </w:r>
            <w:r>
              <w:rPr>
                <w:rFonts w:ascii="宋体" w:hAnsi="宋体" w:cs="宋体"/>
                <w:sz w:val="24"/>
                <w:szCs w:val="24"/>
              </w:rPr>
              <w:t>RSS</w:t>
            </w:r>
            <w:r>
              <w:rPr>
                <w:rFonts w:ascii="宋体" w:hAnsi="宋体" w:cs="宋体" w:hint="eastAsia"/>
                <w:sz w:val="24"/>
                <w:szCs w:val="24"/>
              </w:rPr>
              <w:t>订阅功能，有效的为用户提供个性化信息服务。包括电子书籍、报纸、杂志、视频、资讯等近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种频道分类，使得用户在任何时间里都可以有针对性地阅读自己所需的信息，实现了为用户提供多来源信息的个性化阅读体验。</w:t>
            </w:r>
          </w:p>
          <w:p w:rsidR="00B76B58" w:rsidRPr="00421BFF" w:rsidRDefault="00B76B58" w:rsidP="00B76B58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订阅模块包括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万多册</w:t>
            </w:r>
            <w:r>
              <w:rPr>
                <w:rFonts w:ascii="宋体" w:hAnsi="宋体" w:cs="宋体"/>
                <w:sz w:val="24"/>
                <w:szCs w:val="24"/>
              </w:rPr>
              <w:t>epub</w:t>
            </w:r>
            <w:r>
              <w:rPr>
                <w:rFonts w:ascii="宋体" w:hAnsi="宋体" w:cs="宋体" w:hint="eastAsia"/>
                <w:sz w:val="24"/>
                <w:szCs w:val="24"/>
              </w:rPr>
              <w:t>电子书籍、</w:t>
            </w:r>
            <w:r>
              <w:rPr>
                <w:rFonts w:ascii="宋体" w:hAnsi="宋体" w:cs="宋体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sz w:val="24"/>
                <w:szCs w:val="24"/>
              </w:rPr>
              <w:t>多种全国主流报纸、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万集学术视频、</w:t>
            </w:r>
            <w:r>
              <w:rPr>
                <w:rFonts w:ascii="宋体" w:hAnsi="宋体" w:cs="宋体"/>
                <w:sz w:val="24"/>
                <w:szCs w:val="24"/>
              </w:rPr>
              <w:t>1.5</w:t>
            </w:r>
            <w:r>
              <w:rPr>
                <w:rFonts w:ascii="宋体" w:hAnsi="宋体" w:cs="宋体" w:hint="eastAsia"/>
                <w:sz w:val="24"/>
                <w:szCs w:val="24"/>
              </w:rPr>
              <w:t>万集有声读物、信息咨询等多个频道。</w:t>
            </w:r>
          </w:p>
        </w:tc>
      </w:tr>
      <w:tr w:rsidR="00B76B58"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多终端适应网站</w:t>
            </w:r>
          </w:p>
        </w:tc>
        <w:tc>
          <w:tcPr>
            <w:tcW w:w="5954" w:type="dxa"/>
          </w:tcPr>
          <w:p w:rsidR="00B76B58" w:rsidRDefault="00B76B58" w:rsidP="00CF43C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开发能够自适应各种移动终端的</w:t>
            </w:r>
            <w:r>
              <w:rPr>
                <w:rFonts w:ascii="宋体" w:hAnsi="宋体" w:cs="宋体"/>
                <w:sz w:val="24"/>
                <w:szCs w:val="24"/>
              </w:rPr>
              <w:t>WAP</w:t>
            </w:r>
            <w:r>
              <w:rPr>
                <w:rFonts w:ascii="宋体" w:hAnsi="宋体" w:cs="宋体" w:hint="eastAsia"/>
                <w:sz w:val="24"/>
                <w:szCs w:val="24"/>
              </w:rPr>
              <w:t>版、炫彩版、平板电脑版网站。</w:t>
            </w:r>
          </w:p>
        </w:tc>
      </w:tr>
      <w:tr w:rsidR="00B76B58">
        <w:trPr>
          <w:trHeight w:val="1120"/>
        </w:trPr>
        <w:tc>
          <w:tcPr>
            <w:tcW w:w="2268" w:type="dxa"/>
            <w:vAlign w:val="center"/>
          </w:tcPr>
          <w:p w:rsidR="00B76B58" w:rsidRDefault="00B76B58" w:rsidP="00CF43C7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移动设备客户端</w:t>
            </w:r>
          </w:p>
        </w:tc>
        <w:tc>
          <w:tcPr>
            <w:tcW w:w="5954" w:type="dxa"/>
          </w:tcPr>
          <w:p w:rsidR="00B76B58" w:rsidRDefault="00B76B58" w:rsidP="00B76B58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提供基于</w:t>
            </w:r>
            <w:r>
              <w:rPr>
                <w:rFonts w:ascii="宋体" w:hAnsi="宋体" w:cs="宋体"/>
                <w:sz w:val="24"/>
                <w:szCs w:val="24"/>
              </w:rPr>
              <w:t>ios</w:t>
            </w:r>
            <w:r>
              <w:rPr>
                <w:rFonts w:ascii="宋体" w:hAnsi="宋体" w:cs="宋体" w:hint="eastAsia"/>
                <w:sz w:val="24"/>
                <w:szCs w:val="24"/>
              </w:rPr>
              <w:t>系统的</w:t>
            </w:r>
            <w:r>
              <w:rPr>
                <w:rFonts w:ascii="宋体" w:hAnsi="宋体" w:cs="宋体"/>
                <w:sz w:val="24"/>
                <w:szCs w:val="24"/>
              </w:rPr>
              <w:t>iPhone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sz w:val="24"/>
                <w:szCs w:val="24"/>
              </w:rPr>
              <w:t>iPad</w:t>
            </w:r>
            <w:r>
              <w:rPr>
                <w:rFonts w:ascii="宋体" w:hAnsi="宋体" w:cs="宋体" w:hint="eastAsia"/>
                <w:sz w:val="24"/>
                <w:szCs w:val="24"/>
              </w:rPr>
              <w:t>客户端；基于</w:t>
            </w:r>
            <w:r>
              <w:rPr>
                <w:rFonts w:ascii="宋体" w:hAnsi="宋体" w:cs="宋体"/>
                <w:sz w:val="24"/>
                <w:szCs w:val="24"/>
              </w:rPr>
              <w:t>Andorid</w:t>
            </w:r>
            <w:r>
              <w:rPr>
                <w:rFonts w:ascii="宋体" w:hAnsi="宋体" w:cs="宋体" w:hint="eastAsia"/>
                <w:sz w:val="24"/>
                <w:szCs w:val="24"/>
              </w:rPr>
              <w:t>平台的手机、平板客户端。针对不同需求，用户可随时自定义适合自身的相关</w:t>
            </w:r>
            <w:r>
              <w:rPr>
                <w:rFonts w:ascii="宋体" w:hAnsi="宋体" w:cs="宋体"/>
                <w:sz w:val="24"/>
                <w:szCs w:val="24"/>
              </w:rPr>
              <w:t>APP</w:t>
            </w:r>
            <w:r>
              <w:rPr>
                <w:rFonts w:ascii="宋体" w:hAnsi="宋体" w:cs="宋体" w:hint="eastAsia"/>
                <w:sz w:val="24"/>
                <w:szCs w:val="24"/>
              </w:rPr>
              <w:t>，对接入移动图书馆系统中。平台实现后台实时添加新上线的阅读内容、</w:t>
            </w:r>
            <w:r>
              <w:rPr>
                <w:rFonts w:ascii="宋体" w:hAnsi="宋体" w:cs="宋体"/>
                <w:sz w:val="24"/>
                <w:szCs w:val="24"/>
              </w:rPr>
              <w:t>APP</w:t>
            </w:r>
            <w:r>
              <w:rPr>
                <w:rFonts w:ascii="宋体" w:hAnsi="宋体" w:cs="宋体" w:hint="eastAsia"/>
                <w:sz w:val="24"/>
                <w:szCs w:val="24"/>
              </w:rPr>
              <w:t>功能，无需苹果商店及各个</w:t>
            </w:r>
            <w:r>
              <w:rPr>
                <w:rFonts w:ascii="宋体" w:hAnsi="宋体" w:cs="宋体"/>
                <w:sz w:val="24"/>
                <w:szCs w:val="24"/>
              </w:rPr>
              <w:t>Android</w:t>
            </w:r>
            <w:r>
              <w:rPr>
                <w:rFonts w:ascii="宋体" w:hAnsi="宋体" w:cs="宋体" w:hint="eastAsia"/>
                <w:sz w:val="24"/>
                <w:szCs w:val="24"/>
              </w:rPr>
              <w:t>市场审核。达到最大化即推即得。</w:t>
            </w:r>
          </w:p>
        </w:tc>
      </w:tr>
    </w:tbl>
    <w:p w:rsidR="00B76B58" w:rsidRPr="00507587" w:rsidRDefault="00B76B58" w:rsidP="00D001C0">
      <w:pPr>
        <w:pStyle w:val="PlainText"/>
        <w:spacing w:beforeLines="50" w:afterLines="50" w:line="264" w:lineRule="auto"/>
        <w:rPr>
          <w:rFonts w:ascii="黑体" w:eastAsia="黑体" w:cs="Times New Roman"/>
          <w:sz w:val="24"/>
          <w:szCs w:val="24"/>
        </w:rPr>
      </w:pPr>
      <w:bookmarkStart w:id="1" w:name="_Toc434583089"/>
      <w:bookmarkEnd w:id="0"/>
      <w:r w:rsidRPr="00507587">
        <w:rPr>
          <w:rFonts w:ascii="黑体" w:eastAsia="黑体" w:cs="黑体"/>
          <w:sz w:val="24"/>
          <w:szCs w:val="24"/>
        </w:rPr>
        <w:t>2</w:t>
      </w:r>
      <w:r w:rsidRPr="00507587">
        <w:rPr>
          <w:rFonts w:ascii="黑体" w:eastAsia="黑体" w:cs="黑体" w:hint="eastAsia"/>
          <w:sz w:val="24"/>
          <w:szCs w:val="24"/>
        </w:rPr>
        <w:t>、售后服务</w:t>
      </w:r>
      <w:bookmarkEnd w:id="1"/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9"/>
        <w:gridCol w:w="3020"/>
        <w:gridCol w:w="4449"/>
      </w:tblGrid>
      <w:tr w:rsidR="00B76B58" w:rsidRPr="00CF43C7">
        <w:trPr>
          <w:trHeight w:val="2009"/>
          <w:jc w:val="center"/>
        </w:trPr>
        <w:tc>
          <w:tcPr>
            <w:tcW w:w="1999" w:type="dxa"/>
            <w:vAlign w:val="center"/>
          </w:tcPr>
          <w:p w:rsidR="00B76B58" w:rsidRPr="00CF43C7" w:rsidRDefault="00B76B58" w:rsidP="00E86C15">
            <w:pPr>
              <w:tabs>
                <w:tab w:val="left" w:pos="2070"/>
              </w:tabs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CF43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安装调试</w:t>
            </w:r>
          </w:p>
        </w:tc>
        <w:tc>
          <w:tcPr>
            <w:tcW w:w="7469" w:type="dxa"/>
            <w:gridSpan w:val="2"/>
          </w:tcPr>
          <w:p w:rsidR="00B76B58" w:rsidRPr="00CF43C7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 w:rsidRPr="00CF43C7">
              <w:rPr>
                <w:rFonts w:ascii="宋体" w:hAnsi="宋体" w:cs="宋体"/>
                <w:sz w:val="24"/>
                <w:szCs w:val="24"/>
              </w:rPr>
              <w:t>1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签定合同后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个月内，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负责对数据库及相关软件系统的开通、安装与调试</w:t>
            </w:r>
            <w:r w:rsidRPr="00EF1033">
              <w:rPr>
                <w:rFonts w:ascii="宋体" w:hAnsi="宋体" w:cs="宋体" w:hint="eastAsia"/>
                <w:color w:val="FF0000"/>
                <w:sz w:val="24"/>
                <w:szCs w:val="24"/>
              </w:rPr>
              <w:t>。</w:t>
            </w:r>
          </w:p>
          <w:p w:rsidR="00B76B58" w:rsidRPr="00CF43C7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 w:rsidRPr="00CF43C7">
              <w:rPr>
                <w:rFonts w:ascii="宋体" w:hAnsi="宋体" w:cs="宋体"/>
                <w:sz w:val="24"/>
                <w:szCs w:val="24"/>
              </w:rPr>
              <w:t>2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、对技术老师进行后台管理系统的培训。</w:t>
            </w:r>
          </w:p>
          <w:p w:rsidR="00B76B58" w:rsidRPr="00CF43C7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 w:rsidRPr="00CF43C7">
              <w:rPr>
                <w:rFonts w:ascii="宋体" w:hAnsi="宋体" w:cs="宋体"/>
                <w:sz w:val="24"/>
                <w:szCs w:val="24"/>
              </w:rPr>
              <w:t>3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、每年至少对师生进行三次以上的操作讲解。</w:t>
            </w:r>
          </w:p>
        </w:tc>
      </w:tr>
      <w:tr w:rsidR="00B76B58" w:rsidRPr="00CF43C7">
        <w:trPr>
          <w:trHeight w:val="280"/>
          <w:jc w:val="center"/>
        </w:trPr>
        <w:tc>
          <w:tcPr>
            <w:tcW w:w="1999" w:type="dxa"/>
            <w:vAlign w:val="center"/>
          </w:tcPr>
          <w:p w:rsidR="00B76B58" w:rsidRPr="00CF43C7" w:rsidRDefault="00B76B58" w:rsidP="00E86C15">
            <w:pPr>
              <w:tabs>
                <w:tab w:val="left" w:pos="2070"/>
              </w:tabs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CF43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保修项目和保修期</w:t>
            </w:r>
          </w:p>
        </w:tc>
        <w:tc>
          <w:tcPr>
            <w:tcW w:w="3020" w:type="dxa"/>
          </w:tcPr>
          <w:p w:rsidR="00B76B58" w:rsidRPr="00CF43C7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 w:rsidRPr="00CF43C7">
              <w:rPr>
                <w:rFonts w:ascii="宋体" w:hAnsi="宋体" w:cs="宋体" w:hint="eastAsia"/>
                <w:sz w:val="24"/>
                <w:szCs w:val="24"/>
              </w:rPr>
              <w:t>移动图书馆系统</w:t>
            </w:r>
          </w:p>
        </w:tc>
        <w:tc>
          <w:tcPr>
            <w:tcW w:w="4449" w:type="dxa"/>
          </w:tcPr>
          <w:p w:rsidR="00B76B58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 w:rsidRPr="00CF43C7">
              <w:rPr>
                <w:rFonts w:ascii="宋体" w:hAnsi="宋体" w:cs="宋体" w:hint="eastAsia"/>
                <w:sz w:val="24"/>
                <w:szCs w:val="24"/>
              </w:rPr>
              <w:t>自验收合格之日起一年</w:t>
            </w:r>
            <w:r>
              <w:rPr>
                <w:rFonts w:ascii="宋体" w:hAnsi="宋体" w:cs="宋体" w:hint="eastAsia"/>
                <w:sz w:val="24"/>
                <w:szCs w:val="24"/>
              </w:rPr>
              <w:t>全免费</w:t>
            </w:r>
          </w:p>
          <w:p w:rsidR="00B76B58" w:rsidRPr="00BD31BD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对</w:t>
            </w:r>
            <w:r w:rsidRPr="00BD31BD">
              <w:rPr>
                <w:rFonts w:ascii="宋体" w:hAnsi="宋体" w:cs="宋体" w:hint="eastAsia"/>
                <w:color w:val="FF0000"/>
                <w:sz w:val="24"/>
                <w:szCs w:val="24"/>
              </w:rPr>
              <w:t>移动图书馆系统自有数据因数据库原因发生丢失或损坏时</w:t>
            </w: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，终身免费完成相关数据的恢复工作。</w:t>
            </w:r>
            <w:bookmarkStart w:id="2" w:name="_GoBack"/>
            <w:bookmarkEnd w:id="2"/>
          </w:p>
        </w:tc>
      </w:tr>
      <w:tr w:rsidR="00B76B58" w:rsidRPr="00CF43C7">
        <w:trPr>
          <w:jc w:val="center"/>
        </w:trPr>
        <w:tc>
          <w:tcPr>
            <w:tcW w:w="1999" w:type="dxa"/>
            <w:vAlign w:val="center"/>
          </w:tcPr>
          <w:p w:rsidR="00B76B58" w:rsidRPr="00CF43C7" w:rsidRDefault="00B76B58" w:rsidP="00E86C15">
            <w:pPr>
              <w:tabs>
                <w:tab w:val="left" w:pos="2070"/>
              </w:tabs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CF43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售后服务承诺</w:t>
            </w:r>
          </w:p>
        </w:tc>
        <w:tc>
          <w:tcPr>
            <w:tcW w:w="7469" w:type="dxa"/>
            <w:gridSpan w:val="2"/>
          </w:tcPr>
          <w:p w:rsidR="00B76B58" w:rsidRPr="00CF43C7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 w:rsidRPr="00CF43C7">
              <w:rPr>
                <w:rFonts w:ascii="宋体" w:hAnsi="宋体" w:cs="宋体"/>
                <w:sz w:val="24"/>
                <w:szCs w:val="24"/>
              </w:rPr>
              <w:t>1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在成都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设立</w:t>
            </w:r>
            <w:r>
              <w:rPr>
                <w:rFonts w:ascii="宋体" w:hAnsi="宋体" w:cs="宋体" w:hint="eastAsia"/>
                <w:sz w:val="24"/>
                <w:szCs w:val="24"/>
              </w:rPr>
              <w:t>有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办事处，长期设置技术支持热线电话、传真、</w:t>
            </w:r>
            <w:r w:rsidRPr="00CF43C7">
              <w:rPr>
                <w:rFonts w:ascii="宋体" w:hAnsi="宋体" w:cs="宋体"/>
                <w:sz w:val="24"/>
                <w:szCs w:val="24"/>
              </w:rPr>
              <w:t>E-mail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接受客户的技术支持请求。</w:t>
            </w:r>
          </w:p>
          <w:p w:rsidR="00B76B58" w:rsidRDefault="00B76B58" w:rsidP="00CF43C7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在保修期内免费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维护数据库正常运转和及时更新。</w:t>
            </w:r>
          </w:p>
          <w:p w:rsidR="00B76B58" w:rsidRPr="00CF43C7" w:rsidRDefault="00B76B58" w:rsidP="00087368">
            <w:pPr>
              <w:tabs>
                <w:tab w:val="left" w:pos="2070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对一般的技术支持响应时间不超过</w:t>
            </w:r>
            <w:r w:rsidRPr="00CF43C7">
              <w:rPr>
                <w:rFonts w:ascii="宋体" w:hAnsi="宋体" w:cs="宋体"/>
                <w:sz w:val="24"/>
                <w:szCs w:val="24"/>
              </w:rPr>
              <w:t>2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小时，若出现重大问题，技术支持工程师必须在</w:t>
            </w:r>
            <w:r w:rsidRPr="00CF43C7">
              <w:rPr>
                <w:rFonts w:ascii="宋体" w:hAnsi="宋体" w:cs="宋体"/>
                <w:sz w:val="24"/>
                <w:szCs w:val="24"/>
              </w:rPr>
              <w:t>6</w:t>
            </w:r>
            <w:r w:rsidRPr="00CF43C7">
              <w:rPr>
                <w:rFonts w:ascii="宋体" w:hAnsi="宋体" w:cs="宋体" w:hint="eastAsia"/>
                <w:sz w:val="24"/>
                <w:szCs w:val="24"/>
              </w:rPr>
              <w:t>小时内到达现场进行技术维护；若硬件损坏，则即刻开通远程数据访问，确保用户正常使用数据。</w:t>
            </w:r>
          </w:p>
        </w:tc>
      </w:tr>
    </w:tbl>
    <w:p w:rsidR="00B76B58" w:rsidRDefault="00B76B58" w:rsidP="00CF43C7">
      <w:bookmarkStart w:id="3" w:name="_PictureBullets"/>
      <w:r w:rsidRPr="00B25C9F">
        <w:rPr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bullet="t">
            <v:imagedata r:id="rId7" o:title=""/>
          </v:shape>
        </w:pict>
      </w:r>
      <w:bookmarkEnd w:id="3"/>
    </w:p>
    <w:sectPr w:rsidR="00B76B58" w:rsidSect="004353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58" w:rsidRDefault="00B76B58">
      <w:r>
        <w:separator/>
      </w:r>
    </w:p>
  </w:endnote>
  <w:endnote w:type="continuationSeparator" w:id="0">
    <w:p w:rsidR="00B76B58" w:rsidRDefault="00B76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B58" w:rsidRDefault="00B76B5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5.05pt;height:10.85pt;z-index:251660288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B76B58" w:rsidRDefault="00B76B58">
                <w:pPr>
                  <w:snapToGrid w:val="0"/>
                  <w:rPr>
                    <w:sz w:val="18"/>
                    <w:szCs w:val="18"/>
                  </w:rPr>
                </w:pPr>
                <w:fldSimple w:instr=" PAGE  \* MERGEFORMAT ">
                  <w:r w:rsidRPr="006E5F00">
                    <w:rPr>
                      <w:noProof/>
                      <w:sz w:val="18"/>
                      <w:szCs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58" w:rsidRDefault="00B76B58">
      <w:r>
        <w:separator/>
      </w:r>
    </w:p>
  </w:footnote>
  <w:footnote w:type="continuationSeparator" w:id="0">
    <w:p w:rsidR="00B76B58" w:rsidRDefault="00B76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4"/>
    <w:multiLevelType w:val="singleLevel"/>
    <w:tmpl w:val="00000014"/>
    <w:lvl w:ilvl="0">
      <w:start w:val="5"/>
      <w:numFmt w:val="decimal"/>
      <w:suff w:val="nothing"/>
      <w:lvlText w:val="%1、"/>
      <w:lvlJc w:val="left"/>
    </w:lvl>
  </w:abstractNum>
  <w:abstractNum w:abstractNumId="2">
    <w:nsid w:val="5785F035"/>
    <w:multiLevelType w:val="singleLevel"/>
    <w:tmpl w:val="5785F035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77635B42"/>
    <w:multiLevelType w:val="hybridMultilevel"/>
    <w:tmpl w:val="1D6C1CB2"/>
    <w:lvl w:ilvl="0" w:tplc="5602ECE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12501A"/>
    <w:rsid w:val="00087368"/>
    <w:rsid w:val="000B4954"/>
    <w:rsid w:val="000E2D3A"/>
    <w:rsid w:val="001B25B4"/>
    <w:rsid w:val="003F27CE"/>
    <w:rsid w:val="003F3D87"/>
    <w:rsid w:val="00421BFF"/>
    <w:rsid w:val="0043539F"/>
    <w:rsid w:val="00507587"/>
    <w:rsid w:val="006E5F00"/>
    <w:rsid w:val="007B6FB2"/>
    <w:rsid w:val="00833551"/>
    <w:rsid w:val="00856400"/>
    <w:rsid w:val="00961C62"/>
    <w:rsid w:val="009B6825"/>
    <w:rsid w:val="00B25C9F"/>
    <w:rsid w:val="00B76B58"/>
    <w:rsid w:val="00BD18A5"/>
    <w:rsid w:val="00BD1DDB"/>
    <w:rsid w:val="00BD31BD"/>
    <w:rsid w:val="00C167D9"/>
    <w:rsid w:val="00C957D2"/>
    <w:rsid w:val="00CF43C7"/>
    <w:rsid w:val="00D001C0"/>
    <w:rsid w:val="00DD326C"/>
    <w:rsid w:val="00E86C15"/>
    <w:rsid w:val="00E95340"/>
    <w:rsid w:val="00EF1033"/>
    <w:rsid w:val="00F92FC4"/>
    <w:rsid w:val="1D12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39F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539F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26C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435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26C14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53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6C14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43539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0B4954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B4954"/>
    <w:rPr>
      <w:rFonts w:ascii="宋体" w:eastAsia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2</Pages>
  <Words>207</Words>
  <Characters>1185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19</cp:revision>
  <dcterms:created xsi:type="dcterms:W3CDTF">2016-07-13T07:25:00Z</dcterms:created>
  <dcterms:modified xsi:type="dcterms:W3CDTF">2016-11-16T08:51:00Z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