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776" w:rsidRDefault="005D6776" w:rsidP="005D6776">
      <w:pPr>
        <w:adjustRightInd w:val="0"/>
        <w:snapToGrid w:val="0"/>
        <w:spacing w:line="360" w:lineRule="auto"/>
        <w:ind w:firstLineChars="188" w:firstLine="451"/>
        <w:jc w:val="left"/>
        <w:rPr>
          <w:rFonts w:hAnsi="宋体" w:cs="宋体" w:hint="eastAsia"/>
          <w:bCs/>
          <w:spacing w:val="8"/>
          <w:sz w:val="24"/>
          <w:szCs w:val="24"/>
        </w:rPr>
      </w:pPr>
      <w:r>
        <w:rPr>
          <w:rFonts w:ascii="仿宋" w:eastAsia="仿宋" w:hAnsi="仿宋" w:hint="eastAsia"/>
          <w:bCs/>
          <w:snapToGrid w:val="0"/>
          <w:color w:val="000000"/>
          <w:kern w:val="0"/>
          <w:sz w:val="24"/>
        </w:rPr>
        <w:t>评标办法</w:t>
      </w:r>
    </w:p>
    <w:p w:rsidR="005D6776" w:rsidRDefault="005D6776" w:rsidP="005D6776">
      <w:pPr>
        <w:numPr>
          <w:ilvl w:val="0"/>
          <w:numId w:val="1"/>
        </w:numPr>
        <w:adjustRightInd w:val="0"/>
        <w:snapToGrid w:val="0"/>
        <w:spacing w:line="440" w:lineRule="exact"/>
        <w:ind w:firstLineChars="200" w:firstLine="480"/>
        <w:rPr>
          <w:rFonts w:ascii="仿宋" w:eastAsia="仿宋" w:hAnsi="仿宋" w:hint="eastAsia"/>
          <w:bCs/>
          <w:snapToGrid w:val="0"/>
          <w:color w:val="000000"/>
          <w:kern w:val="0"/>
          <w:sz w:val="24"/>
        </w:rPr>
      </w:pPr>
      <w:r>
        <w:rPr>
          <w:rFonts w:ascii="仿宋" w:eastAsia="仿宋" w:hAnsi="仿宋" w:hint="eastAsia"/>
          <w:bCs/>
          <w:snapToGrid w:val="0"/>
          <w:color w:val="000000"/>
          <w:kern w:val="0"/>
          <w:sz w:val="24"/>
        </w:rPr>
        <w:t xml:space="preserve">本次评标采用综合评标法。 </w:t>
      </w:r>
    </w:p>
    <w:p w:rsidR="005D6776" w:rsidRDefault="005D6776" w:rsidP="005D6776">
      <w:pPr>
        <w:numPr>
          <w:ilvl w:val="0"/>
          <w:numId w:val="1"/>
        </w:numPr>
        <w:adjustRightInd w:val="0"/>
        <w:snapToGrid w:val="0"/>
        <w:spacing w:line="360" w:lineRule="auto"/>
        <w:ind w:firstLineChars="200" w:firstLine="480"/>
        <w:jc w:val="left"/>
        <w:rPr>
          <w:rFonts w:hAnsi="宋体" w:cs="宋体"/>
          <w:bCs/>
          <w:spacing w:val="8"/>
          <w:sz w:val="24"/>
          <w:szCs w:val="24"/>
        </w:rPr>
      </w:pPr>
      <w:r>
        <w:rPr>
          <w:rFonts w:ascii="仿宋" w:eastAsia="仿宋" w:hAnsi="仿宋" w:hint="eastAsia"/>
          <w:bCs/>
          <w:snapToGrid w:val="0"/>
          <w:color w:val="000000"/>
          <w:kern w:val="0"/>
          <w:sz w:val="24"/>
        </w:rPr>
        <w:t xml:space="preserve">评分办法说明 </w:t>
      </w:r>
    </w:p>
    <w:p w:rsidR="005D6776" w:rsidRDefault="005D6776" w:rsidP="005D6776">
      <w:pPr>
        <w:adjustRightInd w:val="0"/>
        <w:snapToGrid w:val="0"/>
        <w:spacing w:line="360" w:lineRule="auto"/>
        <w:ind w:firstLineChars="188" w:firstLine="451"/>
        <w:jc w:val="left"/>
        <w:rPr>
          <w:rFonts w:hAnsi="宋体" w:cs="宋体" w:hint="eastAsia"/>
          <w:bCs/>
          <w:spacing w:val="8"/>
          <w:sz w:val="24"/>
          <w:szCs w:val="24"/>
        </w:rPr>
      </w:pPr>
      <w:r>
        <w:rPr>
          <w:rFonts w:ascii="仿宋" w:eastAsia="仿宋" w:hAnsi="仿宋" w:hint="eastAsia"/>
          <w:bCs/>
          <w:snapToGrid w:val="0"/>
          <w:color w:val="000000"/>
          <w:kern w:val="0"/>
          <w:sz w:val="24"/>
        </w:rPr>
        <w:t>对各投标文件进行详细评审打分的满分为 100 分，设备招标主要考评因素包括综合商务部分（15%）、投标报价（20%）、技术性能（53%）、售后服务</w:t>
      </w:r>
      <w:r w:rsidRPr="001D6A62">
        <w:rPr>
          <w:rFonts w:ascii="仿宋" w:eastAsia="仿宋" w:hAnsi="仿宋" w:hint="eastAsia"/>
          <w:bCs/>
          <w:snapToGrid w:val="0"/>
          <w:color w:val="000000"/>
          <w:kern w:val="0"/>
          <w:sz w:val="24"/>
        </w:rPr>
        <w:t>承诺</w:t>
      </w:r>
      <w:r>
        <w:rPr>
          <w:rFonts w:ascii="仿宋" w:eastAsia="仿宋" w:hAnsi="仿宋" w:hint="eastAsia"/>
          <w:bCs/>
          <w:snapToGrid w:val="0"/>
          <w:color w:val="000000"/>
          <w:kern w:val="0"/>
          <w:sz w:val="24"/>
        </w:rPr>
        <w:t>（10%）、</w:t>
      </w:r>
      <w:r w:rsidRPr="001D6A62">
        <w:rPr>
          <w:rFonts w:ascii="仿宋" w:eastAsia="仿宋" w:hAnsi="仿宋" w:hint="eastAsia"/>
          <w:bCs/>
          <w:snapToGrid w:val="0"/>
          <w:color w:val="000000"/>
          <w:kern w:val="0"/>
          <w:sz w:val="24"/>
        </w:rPr>
        <w:t>投标文件要求</w:t>
      </w:r>
      <w:r>
        <w:rPr>
          <w:rFonts w:ascii="仿宋" w:eastAsia="仿宋" w:hAnsi="仿宋" w:hint="eastAsia"/>
          <w:bCs/>
          <w:snapToGrid w:val="0"/>
          <w:color w:val="000000"/>
          <w:kern w:val="0"/>
          <w:sz w:val="24"/>
        </w:rPr>
        <w:t>（2%）四个方面，各投标人四方面的所有评价指标的得分之和就是该投标人的综合得分。</w:t>
      </w:r>
    </w:p>
    <w:p w:rsidR="005D6776" w:rsidRDefault="005D6776" w:rsidP="005D6776">
      <w:pPr>
        <w:adjustRightInd w:val="0"/>
        <w:snapToGrid w:val="0"/>
        <w:spacing w:line="360" w:lineRule="auto"/>
        <w:ind w:firstLineChars="188" w:firstLine="451"/>
        <w:jc w:val="left"/>
        <w:rPr>
          <w:rFonts w:ascii="仿宋_GB2312" w:eastAsia="仿宋_GB2312" w:hint="eastAsia"/>
          <w:sz w:val="28"/>
        </w:rPr>
      </w:pPr>
      <w:r>
        <w:rPr>
          <w:rFonts w:ascii="仿宋" w:eastAsia="仿宋" w:hAnsi="仿宋" w:hint="eastAsia"/>
          <w:bCs/>
          <w:snapToGrid w:val="0"/>
          <w:color w:val="000000"/>
          <w:kern w:val="0"/>
          <w:sz w:val="24"/>
        </w:rPr>
        <w:t>详细评分标准如下表</w:t>
      </w:r>
      <w:r>
        <w:rPr>
          <w:rFonts w:hAnsi="宋体" w:cs="宋体"/>
          <w:bCs/>
          <w:spacing w:val="8"/>
          <w:sz w:val="24"/>
          <w:szCs w:val="24"/>
        </w:rPr>
        <w:t>：</w:t>
      </w:r>
      <w:r>
        <w:rPr>
          <w:rFonts w:ascii="仿宋_GB2312" w:eastAsia="仿宋_GB2312"/>
          <w:sz w:val="28"/>
        </w:rPr>
        <w:t xml:space="preserve"> </w:t>
      </w:r>
    </w:p>
    <w:tbl>
      <w:tblPr>
        <w:tblW w:w="0" w:type="auto"/>
        <w:tblCellSpacing w:w="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2"/>
        <w:gridCol w:w="1257"/>
        <w:gridCol w:w="233"/>
        <w:gridCol w:w="513"/>
        <w:gridCol w:w="535"/>
        <w:gridCol w:w="5940"/>
      </w:tblGrid>
      <w:tr w:rsidR="005D6776" w:rsidTr="003A5C9F">
        <w:trPr>
          <w:tblCellSpacing w:w="0" w:type="dxa"/>
        </w:trPr>
        <w:tc>
          <w:tcPr>
            <w:tcW w:w="702" w:type="dxa"/>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序号</w:t>
            </w:r>
          </w:p>
        </w:tc>
        <w:tc>
          <w:tcPr>
            <w:tcW w:w="1490"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评价因素</w:t>
            </w:r>
          </w:p>
        </w:tc>
        <w:tc>
          <w:tcPr>
            <w:tcW w:w="1048"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权 重</w:t>
            </w:r>
          </w:p>
          <w:p w:rsidR="005D6776" w:rsidRDefault="005D6776" w:rsidP="003A5C9F">
            <w:pPr>
              <w:adjustRightInd w:val="0"/>
              <w:snapToGrid w:val="0"/>
              <w:spacing w:line="360" w:lineRule="auto"/>
              <w:rPr>
                <w:rFonts w:ascii="仿宋" w:eastAsia="仿宋" w:hAnsi="仿宋" w:cs="仿宋" w:hint="eastAsia"/>
                <w:bCs/>
                <w:spacing w:val="8"/>
                <w:szCs w:val="21"/>
              </w:rPr>
            </w:pPr>
            <w:r>
              <w:rPr>
                <w:rFonts w:ascii="仿宋" w:eastAsia="仿宋" w:hAnsi="仿宋" w:cs="仿宋" w:hint="eastAsia"/>
                <w:bCs/>
                <w:spacing w:val="8"/>
                <w:szCs w:val="21"/>
              </w:rPr>
              <w:t>（满分）</w:t>
            </w:r>
          </w:p>
        </w:tc>
        <w:tc>
          <w:tcPr>
            <w:tcW w:w="5940" w:type="dxa"/>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评分原则说明</w:t>
            </w:r>
          </w:p>
        </w:tc>
      </w:tr>
      <w:tr w:rsidR="005D6776" w:rsidTr="003A5C9F">
        <w:trPr>
          <w:tblCellSpacing w:w="0" w:type="dxa"/>
        </w:trPr>
        <w:tc>
          <w:tcPr>
            <w:tcW w:w="9180" w:type="dxa"/>
            <w:gridSpan w:val="6"/>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一、商务部分（满分 15 分）</w:t>
            </w:r>
          </w:p>
        </w:tc>
      </w:tr>
      <w:tr w:rsidR="005D6776" w:rsidTr="003A5C9F">
        <w:trPr>
          <w:cantSplit/>
          <w:tblCellSpacing w:w="0" w:type="dxa"/>
        </w:trPr>
        <w:tc>
          <w:tcPr>
            <w:tcW w:w="9180" w:type="dxa"/>
            <w:gridSpan w:val="6"/>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综合商务</w:t>
            </w:r>
          </w:p>
        </w:tc>
      </w:tr>
      <w:tr w:rsidR="005D6776" w:rsidTr="003A5C9F">
        <w:trPr>
          <w:tblCellSpacing w:w="0" w:type="dxa"/>
        </w:trPr>
        <w:tc>
          <w:tcPr>
            <w:tcW w:w="702" w:type="dxa"/>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1</w:t>
            </w:r>
          </w:p>
        </w:tc>
        <w:tc>
          <w:tcPr>
            <w:tcW w:w="1490" w:type="dxa"/>
            <w:gridSpan w:val="2"/>
            <w:vAlign w:val="center"/>
          </w:tcPr>
          <w:p w:rsidR="005D6776" w:rsidRDefault="005D6776" w:rsidP="003A5C9F">
            <w:pPr>
              <w:adjustRightInd w:val="0"/>
              <w:snapToGrid w:val="0"/>
              <w:spacing w:line="360" w:lineRule="auto"/>
              <w:rPr>
                <w:rFonts w:ascii="仿宋" w:eastAsia="仿宋" w:hAnsi="仿宋" w:cs="仿宋" w:hint="eastAsia"/>
                <w:bCs/>
                <w:spacing w:val="8"/>
                <w:szCs w:val="21"/>
              </w:rPr>
            </w:pPr>
            <w:r>
              <w:rPr>
                <w:rFonts w:ascii="仿宋" w:eastAsia="仿宋" w:hAnsi="仿宋" w:cs="仿宋" w:hint="eastAsia"/>
                <w:bCs/>
                <w:spacing w:val="8"/>
                <w:szCs w:val="21"/>
              </w:rPr>
              <w:t>企业或者产品证明</w:t>
            </w:r>
          </w:p>
        </w:tc>
        <w:tc>
          <w:tcPr>
            <w:tcW w:w="1048"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5</w:t>
            </w:r>
          </w:p>
        </w:tc>
        <w:tc>
          <w:tcPr>
            <w:tcW w:w="5940" w:type="dxa"/>
            <w:vAlign w:val="center"/>
          </w:tcPr>
          <w:p w:rsidR="005D6776" w:rsidRDefault="005D6776" w:rsidP="003A5C9F">
            <w:pPr>
              <w:numPr>
                <w:ilvl w:val="0"/>
                <w:numId w:val="2"/>
              </w:numPr>
              <w:adjustRightInd w:val="0"/>
              <w:snapToGrid w:val="0"/>
              <w:spacing w:line="360" w:lineRule="auto"/>
              <w:jc w:val="left"/>
              <w:rPr>
                <w:rFonts w:ascii="仿宋" w:eastAsia="仿宋" w:hAnsi="仿宋" w:cs="仿宋" w:hint="eastAsia"/>
                <w:bCs/>
                <w:spacing w:val="8"/>
                <w:szCs w:val="21"/>
              </w:rPr>
            </w:pPr>
            <w:r>
              <w:rPr>
                <w:rFonts w:ascii="仿宋" w:eastAsia="仿宋" w:hAnsi="仿宋" w:cs="仿宋"/>
                <w:bCs/>
                <w:spacing w:val="8"/>
                <w:szCs w:val="21"/>
              </w:rPr>
              <w:t>AAA</w:t>
            </w:r>
            <w:r>
              <w:rPr>
                <w:rFonts w:ascii="仿宋" w:eastAsia="仿宋" w:hAnsi="仿宋" w:cs="仿宋" w:hint="eastAsia"/>
                <w:bCs/>
                <w:spacing w:val="8"/>
                <w:szCs w:val="21"/>
              </w:rPr>
              <w:t>级信用等级证书1分</w:t>
            </w:r>
          </w:p>
          <w:p w:rsidR="005D6776" w:rsidRDefault="005D6776" w:rsidP="003A5C9F">
            <w:pPr>
              <w:numPr>
                <w:ilvl w:val="0"/>
                <w:numId w:val="2"/>
              </w:num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计算机软件著作权登记证书（平台）1分</w:t>
            </w:r>
          </w:p>
          <w:p w:rsidR="005D6776" w:rsidRDefault="005D6776" w:rsidP="003A5C9F">
            <w:pPr>
              <w:numPr>
                <w:ilvl w:val="0"/>
                <w:numId w:val="2"/>
              </w:num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计算机软件著作权登记证书（课程）1分</w:t>
            </w:r>
          </w:p>
          <w:p w:rsidR="005D6776" w:rsidRDefault="005D6776" w:rsidP="003A5C9F">
            <w:pPr>
              <w:numPr>
                <w:ilvl w:val="0"/>
                <w:numId w:val="2"/>
              </w:num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出版物经营许可证1分</w:t>
            </w:r>
          </w:p>
          <w:p w:rsidR="005D6776" w:rsidRPr="001D6A62" w:rsidRDefault="005D6776" w:rsidP="003A5C9F">
            <w:pPr>
              <w:numPr>
                <w:ilvl w:val="0"/>
                <w:numId w:val="2"/>
              </w:num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广播电视节目制作经营许可证1分</w:t>
            </w:r>
          </w:p>
        </w:tc>
      </w:tr>
      <w:tr w:rsidR="005D6776" w:rsidTr="003A5C9F">
        <w:trPr>
          <w:tblCellSpacing w:w="0" w:type="dxa"/>
        </w:trPr>
        <w:tc>
          <w:tcPr>
            <w:tcW w:w="702" w:type="dxa"/>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2</w:t>
            </w:r>
          </w:p>
        </w:tc>
        <w:tc>
          <w:tcPr>
            <w:tcW w:w="1490" w:type="dxa"/>
            <w:gridSpan w:val="2"/>
            <w:vAlign w:val="center"/>
          </w:tcPr>
          <w:p w:rsidR="005D6776" w:rsidRDefault="005D6776" w:rsidP="003A5C9F">
            <w:pPr>
              <w:adjustRightInd w:val="0"/>
              <w:snapToGrid w:val="0"/>
              <w:spacing w:line="360" w:lineRule="auto"/>
              <w:rPr>
                <w:rFonts w:ascii="仿宋" w:eastAsia="仿宋" w:hAnsi="仿宋" w:cs="仿宋" w:hint="eastAsia"/>
                <w:bCs/>
                <w:spacing w:val="8"/>
                <w:szCs w:val="21"/>
              </w:rPr>
            </w:pPr>
            <w:r>
              <w:rPr>
                <w:rFonts w:ascii="仿宋" w:eastAsia="仿宋" w:hAnsi="仿宋" w:cs="仿宋" w:hint="eastAsia"/>
                <w:bCs/>
                <w:spacing w:val="8"/>
                <w:szCs w:val="21"/>
              </w:rPr>
              <w:t>履约能力</w:t>
            </w:r>
          </w:p>
        </w:tc>
        <w:tc>
          <w:tcPr>
            <w:tcW w:w="1048"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10</w:t>
            </w:r>
          </w:p>
        </w:tc>
        <w:tc>
          <w:tcPr>
            <w:tcW w:w="5940" w:type="dxa"/>
            <w:vAlign w:val="center"/>
          </w:tcPr>
          <w:p w:rsidR="005D6776" w:rsidRDefault="005D6776" w:rsidP="003A5C9F">
            <w:pPr>
              <w:adjustRightInd w:val="0"/>
              <w:snapToGrid w:val="0"/>
              <w:spacing w:line="360" w:lineRule="auto"/>
              <w:rPr>
                <w:rFonts w:ascii="仿宋" w:eastAsia="仿宋" w:hAnsi="仿宋" w:cs="仿宋" w:hint="eastAsia"/>
                <w:bCs/>
                <w:spacing w:val="8"/>
                <w:szCs w:val="21"/>
              </w:rPr>
            </w:pPr>
            <w:r>
              <w:rPr>
                <w:rFonts w:ascii="仿宋" w:eastAsia="仿宋" w:hAnsi="仿宋" w:cs="仿宋" w:hint="eastAsia"/>
                <w:bCs/>
                <w:spacing w:val="8"/>
                <w:szCs w:val="21"/>
              </w:rPr>
              <w:t>每提供一个合同案例得1分，共计10分。</w:t>
            </w:r>
          </w:p>
        </w:tc>
      </w:tr>
      <w:tr w:rsidR="005D6776" w:rsidTr="003A5C9F">
        <w:trPr>
          <w:tblCellSpacing w:w="0" w:type="dxa"/>
        </w:trPr>
        <w:tc>
          <w:tcPr>
            <w:tcW w:w="9180" w:type="dxa"/>
            <w:gridSpan w:val="6"/>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二 、投标报价（满分 20 分）</w:t>
            </w:r>
          </w:p>
        </w:tc>
      </w:tr>
      <w:tr w:rsidR="005D6776" w:rsidTr="003A5C9F">
        <w:trPr>
          <w:tblCellSpacing w:w="0" w:type="dxa"/>
        </w:trPr>
        <w:tc>
          <w:tcPr>
            <w:tcW w:w="702" w:type="dxa"/>
            <w:vAlign w:val="center"/>
          </w:tcPr>
          <w:p w:rsidR="005D6776" w:rsidRDefault="005D6776" w:rsidP="003A5C9F">
            <w:pPr>
              <w:adjustRightInd w:val="0"/>
              <w:snapToGrid w:val="0"/>
              <w:spacing w:line="360" w:lineRule="auto"/>
              <w:rPr>
                <w:rFonts w:ascii="仿宋" w:eastAsia="仿宋" w:hAnsi="仿宋" w:cs="仿宋" w:hint="eastAsia"/>
                <w:bCs/>
                <w:spacing w:val="8"/>
                <w:szCs w:val="21"/>
              </w:rPr>
            </w:pPr>
            <w:r>
              <w:rPr>
                <w:rFonts w:ascii="仿宋" w:eastAsia="仿宋" w:hAnsi="仿宋" w:cs="仿宋" w:hint="eastAsia"/>
                <w:bCs/>
                <w:spacing w:val="8"/>
                <w:szCs w:val="21"/>
              </w:rPr>
              <w:t xml:space="preserve">  3</w:t>
            </w:r>
          </w:p>
        </w:tc>
        <w:tc>
          <w:tcPr>
            <w:tcW w:w="1490"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投标报价</w:t>
            </w:r>
            <w:bookmarkStart w:id="0" w:name="_GoBack"/>
            <w:bookmarkEnd w:id="0"/>
          </w:p>
        </w:tc>
        <w:tc>
          <w:tcPr>
            <w:tcW w:w="1048"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20</w:t>
            </w:r>
          </w:p>
        </w:tc>
        <w:tc>
          <w:tcPr>
            <w:tcW w:w="5940" w:type="dxa"/>
            <w:vAlign w:val="center"/>
          </w:tcPr>
          <w:p w:rsidR="005D6776" w:rsidRDefault="005D6776" w:rsidP="003A5C9F">
            <w:pPr>
              <w:adjustRightInd w:val="0"/>
              <w:snapToGrid w:val="0"/>
              <w:spacing w:line="360" w:lineRule="auto"/>
              <w:rPr>
                <w:rFonts w:ascii="仿宋" w:eastAsia="仿宋" w:hAnsi="仿宋" w:cs="仿宋" w:hint="eastAsia"/>
                <w:bCs/>
                <w:spacing w:val="8"/>
                <w:szCs w:val="21"/>
              </w:rPr>
            </w:pPr>
            <w:r>
              <w:rPr>
                <w:rFonts w:ascii="仿宋" w:eastAsia="仿宋" w:hAnsi="仿宋" w:cs="仿宋" w:hint="eastAsia"/>
                <w:szCs w:val="21"/>
              </w:rPr>
              <w:t xml:space="preserve">以本次最低有效投标报价为基准价，投标报价得分=(基准价／投标报价)*20 </w:t>
            </w:r>
          </w:p>
        </w:tc>
      </w:tr>
      <w:tr w:rsidR="005D6776" w:rsidTr="003A5C9F">
        <w:trPr>
          <w:tblCellSpacing w:w="0" w:type="dxa"/>
        </w:trPr>
        <w:tc>
          <w:tcPr>
            <w:tcW w:w="9180" w:type="dxa"/>
            <w:gridSpan w:val="6"/>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三、技术性能（满分 53 分）</w:t>
            </w:r>
          </w:p>
        </w:tc>
      </w:tr>
      <w:tr w:rsidR="005D6776" w:rsidTr="003A5C9F">
        <w:trPr>
          <w:tblCellSpacing w:w="0" w:type="dxa"/>
        </w:trPr>
        <w:tc>
          <w:tcPr>
            <w:tcW w:w="702" w:type="dxa"/>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4</w:t>
            </w:r>
          </w:p>
        </w:tc>
        <w:tc>
          <w:tcPr>
            <w:tcW w:w="1257" w:type="dxa"/>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平台及课程的功能、性能要求</w:t>
            </w:r>
          </w:p>
        </w:tc>
        <w:tc>
          <w:tcPr>
            <w:tcW w:w="746"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53</w:t>
            </w:r>
          </w:p>
        </w:tc>
        <w:tc>
          <w:tcPr>
            <w:tcW w:w="6475" w:type="dxa"/>
            <w:gridSpan w:val="2"/>
            <w:vAlign w:val="center"/>
          </w:tcPr>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1：课程主讲人必须是国内名校师资（985、211、双一流学校或者行业专家学者），课程必须妥善解决版权问题。2分；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2：讲课视频要高清拍摄，广播级制作，配备完整字幕，视频中配备图片等多媒体素材帮助学生学习，每个视频文件控制在20分钟左右，FLV格式（必须提供出版物许可证）。2分；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3：每门课程除了讲课视频外，需要配备完善的课程内容，相关电子版参考书，教学大纲，相关PPT，相关试题及作业等教辅资料，所有资源均可在网络上直接访问（现场提供课程演示）。6分；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4：有课程建设团队，对课程内容、学习进度、学习任务等内容更新服务（现场演示课程内容更新服务）。6分；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lastRenderedPageBreak/>
              <w:t>5：视频资源可以实现本地化镜像部署。4分；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6：平台服务于课程，需要对学生学习过程进行严格控制，防止视频拖拽，防止视频跳集，实现当前桌面监测，打开其他无关程序视频就会停止。2分；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7：采用B/S结构，不需要另行安装插件就可以支持IE9及以上版本、safari、</w:t>
            </w:r>
            <w:proofErr w:type="spellStart"/>
            <w:r>
              <w:rPr>
                <w:rFonts w:ascii="仿宋" w:eastAsia="仿宋" w:hAnsi="仿宋" w:cs="仿宋" w:hint="eastAsia"/>
                <w:szCs w:val="21"/>
              </w:rPr>
              <w:t>firefox</w:t>
            </w:r>
            <w:proofErr w:type="spellEnd"/>
            <w:r>
              <w:rPr>
                <w:rFonts w:ascii="仿宋" w:eastAsia="仿宋" w:hAnsi="仿宋" w:cs="仿宋" w:hint="eastAsia"/>
                <w:szCs w:val="21"/>
              </w:rPr>
              <w:t>、chrome等浏览器。2分；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8：平台支持辅助教学、翻转课堂、</w:t>
            </w:r>
            <w:proofErr w:type="gramStart"/>
            <w:r>
              <w:rPr>
                <w:rFonts w:ascii="仿宋" w:eastAsia="仿宋" w:hAnsi="仿宋" w:cs="仿宋" w:hint="eastAsia"/>
                <w:szCs w:val="21"/>
              </w:rPr>
              <w:t>纯网络</w:t>
            </w:r>
            <w:proofErr w:type="gramEnd"/>
            <w:r>
              <w:rPr>
                <w:rFonts w:ascii="仿宋" w:eastAsia="仿宋" w:hAnsi="仿宋" w:cs="仿宋" w:hint="eastAsia"/>
                <w:szCs w:val="21"/>
              </w:rPr>
              <w:t>教学、网络修学分等几种网络教学模式（现场演示）。2分；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9：能够自动生成课程运行报告，支持一键导出运行报告功能（现场演示）。8分；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10：学生学习过程中可以随时、随知识点记笔记。4分；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11：可以检查非法数据，暂时封号。并且上报教务处（现场演示）。6分；</w:t>
            </w:r>
          </w:p>
          <w:p w:rsidR="005D6776" w:rsidRDefault="005D6776" w:rsidP="003A5C9F">
            <w:pPr>
              <w:adjustRightInd w:val="0"/>
              <w:snapToGrid w:val="0"/>
              <w:spacing w:line="360" w:lineRule="auto"/>
              <w:rPr>
                <w:rFonts w:ascii="仿宋" w:eastAsia="仿宋" w:hAnsi="仿宋" w:cs="仿宋" w:hint="eastAsia"/>
                <w:szCs w:val="21"/>
              </w:rPr>
            </w:pPr>
            <w:r>
              <w:rPr>
                <w:rFonts w:ascii="仿宋" w:eastAsia="仿宋" w:hAnsi="仿宋" w:cs="仿宋" w:hint="eastAsia"/>
                <w:szCs w:val="21"/>
              </w:rPr>
              <w:t>12：支持移动端学习。3分</w:t>
            </w:r>
          </w:p>
          <w:p w:rsidR="005D6776" w:rsidRDefault="005D6776" w:rsidP="003A5C9F">
            <w:pPr>
              <w:adjustRightInd w:val="0"/>
              <w:snapToGrid w:val="0"/>
              <w:spacing w:line="360" w:lineRule="auto"/>
              <w:rPr>
                <w:rFonts w:ascii="仿宋" w:eastAsia="仿宋" w:hAnsi="仿宋" w:cs="仿宋" w:hint="eastAsia"/>
                <w:bCs/>
                <w:spacing w:val="8"/>
                <w:szCs w:val="21"/>
              </w:rPr>
            </w:pPr>
            <w:r>
              <w:rPr>
                <w:rFonts w:ascii="仿宋" w:eastAsia="仿宋" w:hAnsi="仿宋" w:cs="仿宋" w:hint="eastAsia"/>
                <w:szCs w:val="21"/>
              </w:rPr>
              <w:t>13：现场演示（良好得6分，一般得2分，较差得0分）</w:t>
            </w:r>
          </w:p>
        </w:tc>
      </w:tr>
      <w:tr w:rsidR="005D6776" w:rsidTr="003A5C9F">
        <w:trPr>
          <w:tblCellSpacing w:w="0" w:type="dxa"/>
        </w:trPr>
        <w:tc>
          <w:tcPr>
            <w:tcW w:w="9180" w:type="dxa"/>
            <w:gridSpan w:val="6"/>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lastRenderedPageBreak/>
              <w:t>四、售后服务承诺（满分10分）</w:t>
            </w:r>
          </w:p>
        </w:tc>
      </w:tr>
      <w:tr w:rsidR="005D6776" w:rsidTr="003A5C9F">
        <w:trPr>
          <w:tblCellSpacing w:w="0" w:type="dxa"/>
        </w:trPr>
        <w:tc>
          <w:tcPr>
            <w:tcW w:w="702" w:type="dxa"/>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5</w:t>
            </w:r>
          </w:p>
        </w:tc>
        <w:tc>
          <w:tcPr>
            <w:tcW w:w="1257" w:type="dxa"/>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售后服务要求承诺</w:t>
            </w:r>
          </w:p>
        </w:tc>
        <w:tc>
          <w:tcPr>
            <w:tcW w:w="746"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10</w:t>
            </w:r>
          </w:p>
        </w:tc>
        <w:tc>
          <w:tcPr>
            <w:tcW w:w="6475" w:type="dxa"/>
            <w:gridSpan w:val="2"/>
            <w:vAlign w:val="center"/>
          </w:tcPr>
          <w:p w:rsidR="005D6776" w:rsidRDefault="005D6776" w:rsidP="003A5C9F">
            <w:p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1. 合同签订一周内课程全部上线。1分</w:t>
            </w:r>
          </w:p>
          <w:p w:rsidR="005D6776" w:rsidRDefault="005D6776" w:rsidP="003A5C9F">
            <w:p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2. 合同签订一周内学生信息全部导入。1分</w:t>
            </w:r>
          </w:p>
          <w:p w:rsidR="005D6776" w:rsidRDefault="005D6776" w:rsidP="003A5C9F">
            <w:p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3. 每个月免费给教务处提供学生学习情况报告一份。1分</w:t>
            </w:r>
          </w:p>
          <w:p w:rsidR="005D6776" w:rsidRDefault="005D6776" w:rsidP="003A5C9F">
            <w:p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4.提供不少于6学时的免费技术培训。1分</w:t>
            </w:r>
          </w:p>
          <w:p w:rsidR="005D6776" w:rsidRDefault="005D6776" w:rsidP="003A5C9F">
            <w:p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5.每个月有一次督学服务。1分</w:t>
            </w:r>
          </w:p>
          <w:p w:rsidR="005D6776" w:rsidRDefault="005D6776" w:rsidP="003A5C9F">
            <w:p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6.服务响应时效：4小时上门服务得5分；8小时上门服务得3分；超过24小时上门服务得1分，不提供上门服务得0分</w:t>
            </w:r>
          </w:p>
        </w:tc>
      </w:tr>
      <w:tr w:rsidR="005D6776" w:rsidTr="003A5C9F">
        <w:trPr>
          <w:tblCellSpacing w:w="0" w:type="dxa"/>
        </w:trPr>
        <w:tc>
          <w:tcPr>
            <w:tcW w:w="9180" w:type="dxa"/>
            <w:gridSpan w:val="6"/>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五、投标文件要求（满分 2分）</w:t>
            </w:r>
          </w:p>
        </w:tc>
      </w:tr>
      <w:tr w:rsidR="005D6776" w:rsidTr="003A5C9F">
        <w:trPr>
          <w:tblCellSpacing w:w="0" w:type="dxa"/>
        </w:trPr>
        <w:tc>
          <w:tcPr>
            <w:tcW w:w="702" w:type="dxa"/>
            <w:vAlign w:val="center"/>
          </w:tcPr>
          <w:p w:rsidR="005D6776" w:rsidRDefault="005D6776" w:rsidP="003A5C9F">
            <w:pPr>
              <w:adjustRightInd w:val="0"/>
              <w:snapToGrid w:val="0"/>
              <w:spacing w:line="360" w:lineRule="auto"/>
              <w:ind w:firstLineChars="188" w:firstLine="425"/>
              <w:jc w:val="center"/>
              <w:rPr>
                <w:rFonts w:ascii="仿宋" w:eastAsia="仿宋" w:hAnsi="仿宋" w:cs="仿宋" w:hint="eastAsia"/>
                <w:bCs/>
                <w:spacing w:val="8"/>
                <w:szCs w:val="21"/>
              </w:rPr>
            </w:pPr>
            <w:r>
              <w:rPr>
                <w:rFonts w:ascii="仿宋" w:eastAsia="仿宋" w:hAnsi="仿宋" w:cs="仿宋" w:hint="eastAsia"/>
                <w:bCs/>
                <w:spacing w:val="8"/>
                <w:szCs w:val="21"/>
              </w:rPr>
              <w:t>6</w:t>
            </w:r>
          </w:p>
        </w:tc>
        <w:tc>
          <w:tcPr>
            <w:tcW w:w="1257" w:type="dxa"/>
            <w:vAlign w:val="center"/>
          </w:tcPr>
          <w:p w:rsidR="005D6776" w:rsidRDefault="005D6776" w:rsidP="003A5C9F">
            <w:pPr>
              <w:jc w:val="left"/>
              <w:rPr>
                <w:rFonts w:ascii="仿宋" w:eastAsia="仿宋" w:hAnsi="仿宋" w:cs="仿宋" w:hint="eastAsia"/>
                <w:bCs/>
                <w:spacing w:val="8"/>
                <w:szCs w:val="21"/>
              </w:rPr>
            </w:pPr>
            <w:r>
              <w:rPr>
                <w:rFonts w:ascii="仿宋" w:eastAsia="仿宋" w:hAnsi="仿宋" w:cs="仿宋" w:hint="eastAsia"/>
                <w:szCs w:val="21"/>
              </w:rPr>
              <w:t>投标文件完整性</w:t>
            </w:r>
          </w:p>
        </w:tc>
        <w:tc>
          <w:tcPr>
            <w:tcW w:w="746" w:type="dxa"/>
            <w:gridSpan w:val="2"/>
            <w:vAlign w:val="center"/>
          </w:tcPr>
          <w:p w:rsidR="005D6776" w:rsidRDefault="005D6776" w:rsidP="003A5C9F">
            <w:pPr>
              <w:adjustRightInd w:val="0"/>
              <w:snapToGrid w:val="0"/>
              <w:spacing w:line="360" w:lineRule="auto"/>
              <w:jc w:val="center"/>
              <w:rPr>
                <w:rFonts w:ascii="仿宋" w:eastAsia="仿宋" w:hAnsi="仿宋" w:cs="仿宋" w:hint="eastAsia"/>
                <w:bCs/>
                <w:spacing w:val="8"/>
                <w:szCs w:val="21"/>
              </w:rPr>
            </w:pPr>
            <w:r>
              <w:rPr>
                <w:rFonts w:ascii="仿宋" w:eastAsia="仿宋" w:hAnsi="仿宋" w:cs="仿宋" w:hint="eastAsia"/>
                <w:bCs/>
                <w:spacing w:val="8"/>
                <w:szCs w:val="21"/>
              </w:rPr>
              <w:t>2</w:t>
            </w:r>
          </w:p>
        </w:tc>
        <w:tc>
          <w:tcPr>
            <w:tcW w:w="6475" w:type="dxa"/>
            <w:gridSpan w:val="2"/>
            <w:vAlign w:val="center"/>
          </w:tcPr>
          <w:p w:rsidR="005D6776" w:rsidRDefault="005D6776" w:rsidP="003A5C9F">
            <w:pPr>
              <w:adjustRightInd w:val="0"/>
              <w:snapToGrid w:val="0"/>
              <w:spacing w:line="360" w:lineRule="auto"/>
              <w:jc w:val="left"/>
              <w:rPr>
                <w:rFonts w:ascii="仿宋" w:eastAsia="仿宋" w:hAnsi="仿宋" w:cs="仿宋" w:hint="eastAsia"/>
                <w:bCs/>
                <w:spacing w:val="8"/>
                <w:szCs w:val="21"/>
              </w:rPr>
            </w:pPr>
            <w:r>
              <w:rPr>
                <w:rFonts w:ascii="仿宋" w:eastAsia="仿宋" w:hAnsi="仿宋" w:cs="仿宋" w:hint="eastAsia"/>
                <w:bCs/>
                <w:spacing w:val="8"/>
                <w:szCs w:val="21"/>
              </w:rPr>
              <w:t>投标文件份数正确、装订良好、投标文件目录页码对应准确，响应完整、表述清晰，投标文件</w:t>
            </w:r>
            <w:proofErr w:type="gramStart"/>
            <w:r>
              <w:rPr>
                <w:rFonts w:ascii="仿宋" w:eastAsia="仿宋" w:hAnsi="仿宋" w:cs="仿宋" w:hint="eastAsia"/>
                <w:bCs/>
                <w:spacing w:val="8"/>
                <w:szCs w:val="21"/>
              </w:rPr>
              <w:t>无缺项漏项</w:t>
            </w:r>
            <w:proofErr w:type="gramEnd"/>
            <w:r>
              <w:rPr>
                <w:rFonts w:ascii="仿宋" w:eastAsia="仿宋" w:hAnsi="仿宋" w:cs="仿宋" w:hint="eastAsia"/>
                <w:bCs/>
                <w:spacing w:val="8"/>
                <w:szCs w:val="21"/>
              </w:rPr>
              <w:t>的得2分。投标文件份数不足、装订不整齐、不牢固、前后表述不一致、文字表述或数字计算明显错误、非实质性项目存在缺项漏项等情况的，有一项扣0.5分，扣完为止</w:t>
            </w:r>
          </w:p>
        </w:tc>
      </w:tr>
    </w:tbl>
    <w:p w:rsidR="00261000" w:rsidRPr="005D6776" w:rsidRDefault="00E93D13"/>
    <w:sectPr w:rsidR="00261000" w:rsidRPr="005D67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D13" w:rsidRDefault="00E93D13" w:rsidP="00F21AD6">
      <w:r>
        <w:separator/>
      </w:r>
    </w:p>
  </w:endnote>
  <w:endnote w:type="continuationSeparator" w:id="0">
    <w:p w:rsidR="00E93D13" w:rsidRDefault="00E93D13" w:rsidP="00F2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D13" w:rsidRDefault="00E93D13" w:rsidP="00F21AD6">
      <w:r>
        <w:separator/>
      </w:r>
    </w:p>
  </w:footnote>
  <w:footnote w:type="continuationSeparator" w:id="0">
    <w:p w:rsidR="00E93D13" w:rsidRDefault="00E93D13" w:rsidP="00F21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C65A0"/>
    <w:multiLevelType w:val="singleLevel"/>
    <w:tmpl w:val="59DC65A0"/>
    <w:lvl w:ilvl="0">
      <w:start w:val="1"/>
      <w:numFmt w:val="decimal"/>
      <w:lvlText w:val="%1)"/>
      <w:lvlJc w:val="left"/>
      <w:pPr>
        <w:ind w:left="425" w:hanging="425"/>
      </w:pPr>
      <w:rPr>
        <w:rFonts w:hint="default"/>
      </w:rPr>
    </w:lvl>
  </w:abstractNum>
  <w:abstractNum w:abstractNumId="1">
    <w:nsid w:val="59DC85A2"/>
    <w:multiLevelType w:val="singleLevel"/>
    <w:tmpl w:val="59DC85A2"/>
    <w:lvl w:ilvl="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776"/>
    <w:rsid w:val="002B49F7"/>
    <w:rsid w:val="004C6377"/>
    <w:rsid w:val="005D6776"/>
    <w:rsid w:val="00E93D13"/>
    <w:rsid w:val="00F21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77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AD6"/>
    <w:rPr>
      <w:rFonts w:ascii="Times New Roman" w:eastAsia="宋体" w:hAnsi="Times New Roman" w:cs="Times New Roman"/>
      <w:sz w:val="18"/>
      <w:szCs w:val="18"/>
    </w:rPr>
  </w:style>
  <w:style w:type="paragraph" w:styleId="a4">
    <w:name w:val="footer"/>
    <w:basedOn w:val="a"/>
    <w:link w:val="Char0"/>
    <w:uiPriority w:val="99"/>
    <w:unhideWhenUsed/>
    <w:rsid w:val="00F21AD6"/>
    <w:pPr>
      <w:tabs>
        <w:tab w:val="center" w:pos="4153"/>
        <w:tab w:val="right" w:pos="8306"/>
      </w:tabs>
      <w:snapToGrid w:val="0"/>
      <w:jc w:val="left"/>
    </w:pPr>
    <w:rPr>
      <w:sz w:val="18"/>
      <w:szCs w:val="18"/>
    </w:rPr>
  </w:style>
  <w:style w:type="character" w:customStyle="1" w:styleId="Char0">
    <w:name w:val="页脚 Char"/>
    <w:basedOn w:val="a0"/>
    <w:link w:val="a4"/>
    <w:uiPriority w:val="99"/>
    <w:rsid w:val="00F21AD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77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A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1AD6"/>
    <w:rPr>
      <w:rFonts w:ascii="Times New Roman" w:eastAsia="宋体" w:hAnsi="Times New Roman" w:cs="Times New Roman"/>
      <w:sz w:val="18"/>
      <w:szCs w:val="18"/>
    </w:rPr>
  </w:style>
  <w:style w:type="paragraph" w:styleId="a4">
    <w:name w:val="footer"/>
    <w:basedOn w:val="a"/>
    <w:link w:val="Char0"/>
    <w:uiPriority w:val="99"/>
    <w:unhideWhenUsed/>
    <w:rsid w:val="00F21AD6"/>
    <w:pPr>
      <w:tabs>
        <w:tab w:val="center" w:pos="4153"/>
        <w:tab w:val="right" w:pos="8306"/>
      </w:tabs>
      <w:snapToGrid w:val="0"/>
      <w:jc w:val="left"/>
    </w:pPr>
    <w:rPr>
      <w:sz w:val="18"/>
      <w:szCs w:val="18"/>
    </w:rPr>
  </w:style>
  <w:style w:type="character" w:customStyle="1" w:styleId="Char0">
    <w:name w:val="页脚 Char"/>
    <w:basedOn w:val="a0"/>
    <w:link w:val="a4"/>
    <w:uiPriority w:val="99"/>
    <w:rsid w:val="00F21A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2018-12-07T02:56:00Z</dcterms:created>
  <dcterms:modified xsi:type="dcterms:W3CDTF">2018-12-07T03:04:00Z</dcterms:modified>
</cp:coreProperties>
</file>