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EB0" w:rsidRPr="00D73EB0" w:rsidRDefault="00D73EB0" w:rsidP="00D73EB0">
      <w:pPr>
        <w:rPr>
          <w:rFonts w:ascii="宋体" w:hAnsi="宋体"/>
          <w:sz w:val="28"/>
          <w:szCs w:val="28"/>
        </w:rPr>
      </w:pPr>
      <w:r w:rsidRPr="00D73EB0">
        <w:rPr>
          <w:rFonts w:ascii="宋体" w:hAnsi="宋体" w:hint="eastAsia"/>
          <w:sz w:val="28"/>
          <w:szCs w:val="28"/>
        </w:rPr>
        <w:t>评分标</w:t>
      </w:r>
      <w:r w:rsidRPr="00D73EB0">
        <w:rPr>
          <w:rFonts w:ascii="宋体" w:hAnsi="宋体" w:cs="MS Mincho"/>
          <w:sz w:val="28"/>
          <w:szCs w:val="28"/>
        </w:rPr>
        <w:t>准</w:t>
      </w:r>
      <w:r w:rsidRPr="00D73EB0">
        <w:rPr>
          <w:rFonts w:ascii="宋体" w:hAnsi="宋体" w:hint="eastAsia"/>
          <w:sz w:val="28"/>
          <w:szCs w:val="28"/>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1979"/>
        <w:gridCol w:w="842"/>
        <w:gridCol w:w="3962"/>
        <w:gridCol w:w="1843"/>
      </w:tblGrid>
      <w:tr w:rsidR="00D73EB0" w:rsidTr="001B6F13">
        <w:trPr>
          <w:trHeight w:val="402"/>
          <w:jc w:val="center"/>
        </w:trPr>
        <w:tc>
          <w:tcPr>
            <w:tcW w:w="725" w:type="dxa"/>
            <w:vAlign w:val="center"/>
          </w:tcPr>
          <w:p w:rsidR="00D73EB0" w:rsidRDefault="00D73EB0" w:rsidP="001B6F13">
            <w:pPr>
              <w:spacing w:line="360" w:lineRule="auto"/>
              <w:rPr>
                <w:rFonts w:ascii="宋体" w:hAnsi="宋体"/>
                <w:color w:val="000000"/>
                <w:szCs w:val="21"/>
              </w:rPr>
            </w:pPr>
            <w:r>
              <w:rPr>
                <w:rFonts w:ascii="宋体" w:hAnsi="宋体" w:hint="eastAsia"/>
                <w:color w:val="000000"/>
                <w:szCs w:val="21"/>
              </w:rPr>
              <w:t>序号</w:t>
            </w:r>
          </w:p>
        </w:tc>
        <w:tc>
          <w:tcPr>
            <w:tcW w:w="1979" w:type="dxa"/>
            <w:vAlign w:val="center"/>
          </w:tcPr>
          <w:p w:rsidR="00D73EB0" w:rsidRDefault="00D73EB0" w:rsidP="001B6F13">
            <w:pPr>
              <w:spacing w:line="360" w:lineRule="auto"/>
              <w:rPr>
                <w:rFonts w:ascii="宋体" w:hAnsi="宋体"/>
                <w:color w:val="000000"/>
                <w:szCs w:val="21"/>
              </w:rPr>
            </w:pPr>
            <w:r>
              <w:rPr>
                <w:rFonts w:ascii="宋体" w:hAnsi="宋体" w:hint="eastAsia"/>
                <w:color w:val="000000"/>
                <w:szCs w:val="21"/>
              </w:rPr>
              <w:t>评分因素</w:t>
            </w:r>
          </w:p>
          <w:p w:rsidR="00D73EB0" w:rsidRDefault="00D73EB0" w:rsidP="001B6F13">
            <w:pPr>
              <w:spacing w:line="360" w:lineRule="auto"/>
              <w:rPr>
                <w:rFonts w:ascii="宋体" w:hAnsi="宋体"/>
                <w:color w:val="000000"/>
                <w:szCs w:val="21"/>
              </w:rPr>
            </w:pPr>
            <w:r>
              <w:rPr>
                <w:rFonts w:ascii="宋体" w:hAnsi="宋体" w:hint="eastAsia"/>
                <w:color w:val="000000"/>
                <w:szCs w:val="21"/>
              </w:rPr>
              <w:t>及权重</w:t>
            </w:r>
          </w:p>
        </w:tc>
        <w:tc>
          <w:tcPr>
            <w:tcW w:w="842" w:type="dxa"/>
            <w:vAlign w:val="center"/>
          </w:tcPr>
          <w:p w:rsidR="00D73EB0" w:rsidRDefault="00D73EB0" w:rsidP="001B6F13">
            <w:pPr>
              <w:spacing w:line="360" w:lineRule="auto"/>
              <w:rPr>
                <w:rFonts w:ascii="宋体" w:hAnsi="宋体"/>
                <w:color w:val="000000"/>
                <w:szCs w:val="21"/>
              </w:rPr>
            </w:pPr>
            <w:r>
              <w:rPr>
                <w:rFonts w:ascii="宋体" w:hAnsi="宋体" w:hint="eastAsia"/>
                <w:color w:val="000000"/>
                <w:szCs w:val="21"/>
              </w:rPr>
              <w:t>分　值</w:t>
            </w:r>
          </w:p>
        </w:tc>
        <w:tc>
          <w:tcPr>
            <w:tcW w:w="3962" w:type="dxa"/>
            <w:vAlign w:val="center"/>
          </w:tcPr>
          <w:p w:rsidR="00D73EB0" w:rsidRDefault="00D73EB0" w:rsidP="001B6F13">
            <w:pPr>
              <w:spacing w:line="360" w:lineRule="auto"/>
              <w:rPr>
                <w:rFonts w:ascii="宋体" w:hAnsi="宋体"/>
                <w:color w:val="000000"/>
                <w:szCs w:val="21"/>
              </w:rPr>
            </w:pPr>
            <w:r>
              <w:rPr>
                <w:rFonts w:ascii="宋体" w:hAnsi="宋体" w:hint="eastAsia"/>
                <w:color w:val="000000"/>
                <w:szCs w:val="21"/>
              </w:rPr>
              <w:t>评分标准</w:t>
            </w:r>
          </w:p>
        </w:tc>
        <w:tc>
          <w:tcPr>
            <w:tcW w:w="1843" w:type="dxa"/>
            <w:vAlign w:val="center"/>
          </w:tcPr>
          <w:p w:rsidR="00D73EB0" w:rsidRDefault="00D73EB0" w:rsidP="001B6F13">
            <w:pPr>
              <w:spacing w:line="360" w:lineRule="auto"/>
              <w:rPr>
                <w:rFonts w:ascii="宋体" w:hAnsi="宋体"/>
                <w:color w:val="000000"/>
                <w:szCs w:val="21"/>
              </w:rPr>
            </w:pPr>
            <w:r>
              <w:rPr>
                <w:rFonts w:ascii="宋体" w:hAnsi="宋体" w:hint="eastAsia"/>
                <w:color w:val="000000"/>
                <w:szCs w:val="21"/>
              </w:rPr>
              <w:t>说    明</w:t>
            </w:r>
          </w:p>
        </w:tc>
      </w:tr>
      <w:tr w:rsidR="00D73EB0" w:rsidTr="001B6F13">
        <w:trPr>
          <w:trHeight w:val="402"/>
          <w:jc w:val="center"/>
        </w:trPr>
        <w:tc>
          <w:tcPr>
            <w:tcW w:w="725" w:type="dxa"/>
            <w:vAlign w:val="center"/>
          </w:tcPr>
          <w:p w:rsidR="00D73EB0" w:rsidRDefault="00D73EB0" w:rsidP="001B6F13">
            <w:pPr>
              <w:spacing w:line="360" w:lineRule="auto"/>
              <w:rPr>
                <w:rFonts w:ascii="宋体" w:hAnsi="宋体"/>
                <w:color w:val="000000"/>
                <w:szCs w:val="21"/>
              </w:rPr>
            </w:pPr>
            <w:r>
              <w:rPr>
                <w:rFonts w:ascii="宋体" w:hAnsi="宋体" w:hint="eastAsia"/>
                <w:color w:val="000000"/>
                <w:szCs w:val="21"/>
              </w:rPr>
              <w:t>1</w:t>
            </w:r>
          </w:p>
        </w:tc>
        <w:tc>
          <w:tcPr>
            <w:tcW w:w="1979" w:type="dxa"/>
            <w:vAlign w:val="center"/>
          </w:tcPr>
          <w:p w:rsidR="00D73EB0" w:rsidRDefault="00D73EB0" w:rsidP="001B6F13">
            <w:pPr>
              <w:spacing w:line="360" w:lineRule="auto"/>
              <w:rPr>
                <w:rFonts w:ascii="宋体" w:hAnsi="宋体"/>
                <w:color w:val="000000"/>
                <w:szCs w:val="21"/>
              </w:rPr>
            </w:pPr>
            <w:r>
              <w:rPr>
                <w:rFonts w:ascii="宋体" w:hAnsi="宋体" w:hint="eastAsia"/>
                <w:color w:val="000000"/>
                <w:szCs w:val="21"/>
              </w:rPr>
              <w:t>报价30%</w:t>
            </w:r>
          </w:p>
          <w:p w:rsidR="00D73EB0" w:rsidRDefault="00D73EB0" w:rsidP="001B6F13">
            <w:pPr>
              <w:spacing w:line="360" w:lineRule="auto"/>
              <w:rPr>
                <w:rFonts w:ascii="宋体" w:hAnsi="宋体"/>
                <w:color w:val="000000"/>
                <w:szCs w:val="21"/>
              </w:rPr>
            </w:pPr>
            <w:r>
              <w:rPr>
                <w:rFonts w:ascii="宋体" w:hAnsi="宋体" w:hint="eastAsia"/>
                <w:color w:val="000000"/>
                <w:szCs w:val="21"/>
              </w:rPr>
              <w:t>（共同评分因素）</w:t>
            </w:r>
          </w:p>
        </w:tc>
        <w:tc>
          <w:tcPr>
            <w:tcW w:w="842" w:type="dxa"/>
            <w:vAlign w:val="center"/>
          </w:tcPr>
          <w:p w:rsidR="00D73EB0" w:rsidRDefault="00D73EB0" w:rsidP="001B6F13">
            <w:pPr>
              <w:spacing w:line="360" w:lineRule="auto"/>
              <w:rPr>
                <w:rFonts w:ascii="宋体" w:hAnsi="宋体"/>
                <w:color w:val="000000"/>
                <w:szCs w:val="21"/>
              </w:rPr>
            </w:pPr>
            <w:r>
              <w:rPr>
                <w:rFonts w:ascii="宋体" w:hAnsi="宋体" w:hint="eastAsia"/>
                <w:color w:val="000000"/>
                <w:szCs w:val="21"/>
              </w:rPr>
              <w:t>30分</w:t>
            </w:r>
          </w:p>
        </w:tc>
        <w:tc>
          <w:tcPr>
            <w:tcW w:w="3962" w:type="dxa"/>
            <w:vAlign w:val="center"/>
          </w:tcPr>
          <w:p w:rsidR="00D73EB0" w:rsidRDefault="00D73EB0" w:rsidP="001B6F13">
            <w:pPr>
              <w:spacing w:line="360" w:lineRule="auto"/>
              <w:rPr>
                <w:rFonts w:ascii="宋体" w:hAnsi="宋体"/>
                <w:color w:val="000000"/>
                <w:szCs w:val="21"/>
              </w:rPr>
            </w:pPr>
            <w:r>
              <w:rPr>
                <w:rFonts w:ascii="宋体" w:hAnsi="宋体" w:hint="eastAsia"/>
                <w:color w:val="000000"/>
                <w:szCs w:val="21"/>
              </w:rPr>
              <w:t>以本次有效的最低投标报价为基准价，投标报价得分=(基准价／投标报价)* 30分</w:t>
            </w:r>
          </w:p>
        </w:tc>
        <w:tc>
          <w:tcPr>
            <w:tcW w:w="1843" w:type="dxa"/>
            <w:vAlign w:val="center"/>
          </w:tcPr>
          <w:p w:rsidR="00D73EB0" w:rsidRDefault="00D73EB0" w:rsidP="001B6F13">
            <w:pPr>
              <w:spacing w:line="360" w:lineRule="auto"/>
              <w:rPr>
                <w:rFonts w:ascii="宋体" w:hAnsi="宋体"/>
                <w:color w:val="000000"/>
                <w:szCs w:val="21"/>
              </w:rPr>
            </w:pPr>
            <w:r>
              <w:rPr>
                <w:rFonts w:ascii="宋体" w:hAnsi="宋体" w:hint="eastAsia"/>
                <w:color w:val="000000"/>
                <w:szCs w:val="21"/>
              </w:rPr>
              <w:t>小微企业（残疾人福利性单位和监狱企业视同小微企业）价格扣除按照本招标文件投标人须知前附表规定执行。</w:t>
            </w:r>
          </w:p>
        </w:tc>
      </w:tr>
      <w:tr w:rsidR="00D73EB0" w:rsidTr="001B6F13">
        <w:trPr>
          <w:trHeight w:val="1890"/>
          <w:jc w:val="center"/>
        </w:trPr>
        <w:tc>
          <w:tcPr>
            <w:tcW w:w="725" w:type="dxa"/>
            <w:vAlign w:val="center"/>
          </w:tcPr>
          <w:p w:rsidR="00D73EB0" w:rsidRDefault="00D73EB0" w:rsidP="001B6F13">
            <w:pPr>
              <w:spacing w:line="360" w:lineRule="auto"/>
              <w:rPr>
                <w:rFonts w:ascii="宋体" w:hAnsi="宋体"/>
                <w:color w:val="000000"/>
                <w:szCs w:val="21"/>
              </w:rPr>
            </w:pPr>
            <w:r>
              <w:rPr>
                <w:rFonts w:ascii="宋体" w:hAnsi="宋体" w:hint="eastAsia"/>
                <w:color w:val="000000"/>
                <w:szCs w:val="21"/>
              </w:rPr>
              <w:t>2</w:t>
            </w:r>
          </w:p>
        </w:tc>
        <w:tc>
          <w:tcPr>
            <w:tcW w:w="1979" w:type="dxa"/>
            <w:vAlign w:val="center"/>
          </w:tcPr>
          <w:p w:rsidR="00D73EB0" w:rsidRDefault="00D73EB0" w:rsidP="001B6F13">
            <w:pPr>
              <w:spacing w:line="360" w:lineRule="auto"/>
              <w:ind w:left="460" w:hangingChars="219" w:hanging="460"/>
              <w:rPr>
                <w:rFonts w:ascii="宋体" w:hAnsi="宋体"/>
                <w:color w:val="000000"/>
                <w:szCs w:val="21"/>
              </w:rPr>
            </w:pPr>
            <w:r>
              <w:rPr>
                <w:rFonts w:ascii="宋体" w:hAnsi="宋体" w:hint="eastAsia"/>
                <w:color w:val="000000"/>
                <w:szCs w:val="21"/>
              </w:rPr>
              <w:t>参数要求38%</w:t>
            </w:r>
          </w:p>
          <w:p w:rsidR="00D73EB0" w:rsidRDefault="00D73EB0" w:rsidP="001B6F13">
            <w:pPr>
              <w:spacing w:line="360" w:lineRule="auto"/>
              <w:rPr>
                <w:rFonts w:ascii="宋体" w:hAnsi="宋体"/>
                <w:color w:val="000000"/>
                <w:szCs w:val="21"/>
              </w:rPr>
            </w:pPr>
            <w:r>
              <w:rPr>
                <w:rFonts w:ascii="宋体" w:hAnsi="宋体" w:hint="eastAsia"/>
                <w:color w:val="000000"/>
                <w:szCs w:val="21"/>
              </w:rPr>
              <w:t>（技术类评分因素）</w:t>
            </w:r>
          </w:p>
        </w:tc>
        <w:tc>
          <w:tcPr>
            <w:tcW w:w="842" w:type="dxa"/>
            <w:vAlign w:val="center"/>
          </w:tcPr>
          <w:p w:rsidR="00D73EB0" w:rsidRDefault="00D73EB0" w:rsidP="001B6F13">
            <w:pPr>
              <w:spacing w:line="360" w:lineRule="auto"/>
              <w:rPr>
                <w:rFonts w:ascii="宋体" w:hAnsi="宋体"/>
                <w:color w:val="000000"/>
                <w:szCs w:val="21"/>
              </w:rPr>
            </w:pPr>
            <w:r>
              <w:rPr>
                <w:rFonts w:ascii="宋体" w:hAnsi="宋体" w:hint="eastAsia"/>
                <w:color w:val="000000"/>
                <w:szCs w:val="21"/>
              </w:rPr>
              <w:t>38分</w:t>
            </w:r>
          </w:p>
        </w:tc>
        <w:tc>
          <w:tcPr>
            <w:tcW w:w="3962" w:type="dxa"/>
            <w:vAlign w:val="center"/>
          </w:tcPr>
          <w:p w:rsidR="00D73EB0" w:rsidRDefault="00D73EB0" w:rsidP="009D7502">
            <w:pPr>
              <w:spacing w:line="360" w:lineRule="auto"/>
              <w:rPr>
                <w:rFonts w:ascii="宋体" w:hAnsi="宋体"/>
                <w:color w:val="000000"/>
                <w:szCs w:val="21"/>
              </w:rPr>
            </w:pPr>
            <w:r>
              <w:rPr>
                <w:rFonts w:ascii="宋体" w:hAnsi="宋体" w:hint="eastAsia"/>
                <w:color w:val="000000"/>
                <w:szCs w:val="21"/>
              </w:rPr>
              <w:t>完全符合 “参数要求”的得38分，与 “参数要求”带“</w:t>
            </w:r>
            <w:r w:rsidR="007F2917">
              <w:rPr>
                <w:rFonts w:ascii="宋体" w:hAnsi="宋体"/>
                <w:szCs w:val="21"/>
              </w:rPr>
              <w:t>★</w:t>
            </w:r>
            <w:r>
              <w:rPr>
                <w:rFonts w:ascii="宋体" w:hAnsi="宋体" w:hint="eastAsia"/>
                <w:color w:val="000000"/>
                <w:szCs w:val="21"/>
              </w:rPr>
              <w:t>”项的一项不满足的扣3分，与“参数要求”中</w:t>
            </w:r>
            <w:r w:rsidR="009D7502">
              <w:rPr>
                <w:rFonts w:ascii="宋体" w:hAnsi="宋体" w:hint="eastAsia"/>
                <w:color w:val="000000"/>
                <w:szCs w:val="21"/>
              </w:rPr>
              <w:t>其他</w:t>
            </w:r>
            <w:r>
              <w:rPr>
                <w:rFonts w:ascii="宋体" w:hAnsi="宋体" w:hint="eastAsia"/>
                <w:color w:val="000000"/>
                <w:szCs w:val="21"/>
              </w:rPr>
              <w:t>参数要求一项不满足的扣2分，直至此评分项扣完为止。</w:t>
            </w:r>
          </w:p>
        </w:tc>
        <w:tc>
          <w:tcPr>
            <w:tcW w:w="1843" w:type="dxa"/>
            <w:vAlign w:val="center"/>
          </w:tcPr>
          <w:p w:rsidR="00D73EB0" w:rsidRDefault="00D73EB0" w:rsidP="001B6F13">
            <w:pPr>
              <w:spacing w:line="360" w:lineRule="auto"/>
              <w:rPr>
                <w:rFonts w:ascii="宋体" w:hAnsi="宋体"/>
                <w:color w:val="000000"/>
                <w:szCs w:val="21"/>
              </w:rPr>
            </w:pPr>
            <w:r>
              <w:rPr>
                <w:rFonts w:ascii="宋体" w:hAnsi="宋体" w:hint="eastAsia"/>
                <w:color w:val="000000"/>
                <w:szCs w:val="21"/>
              </w:rPr>
              <w:t>“参数要求”中有要求提供证明材料，不提供或提供的证明材料不符合参数要求的视为不满足。</w:t>
            </w:r>
          </w:p>
        </w:tc>
      </w:tr>
      <w:tr w:rsidR="00D73EB0" w:rsidTr="001B6F13">
        <w:trPr>
          <w:trHeight w:val="1380"/>
          <w:jc w:val="center"/>
        </w:trPr>
        <w:tc>
          <w:tcPr>
            <w:tcW w:w="725" w:type="dxa"/>
            <w:vAlign w:val="center"/>
          </w:tcPr>
          <w:p w:rsidR="00D73EB0" w:rsidRDefault="00D73EB0" w:rsidP="001B6F13">
            <w:pPr>
              <w:spacing w:line="360" w:lineRule="auto"/>
              <w:rPr>
                <w:rFonts w:ascii="宋体" w:hAnsi="宋体"/>
                <w:color w:val="000000"/>
                <w:szCs w:val="21"/>
              </w:rPr>
            </w:pPr>
            <w:r>
              <w:rPr>
                <w:rFonts w:ascii="宋体" w:hAnsi="宋体" w:hint="eastAsia"/>
                <w:color w:val="000000"/>
                <w:szCs w:val="21"/>
              </w:rPr>
              <w:t>3</w:t>
            </w:r>
          </w:p>
        </w:tc>
        <w:tc>
          <w:tcPr>
            <w:tcW w:w="1979" w:type="dxa"/>
            <w:vAlign w:val="center"/>
          </w:tcPr>
          <w:p w:rsidR="00D73EB0" w:rsidRDefault="00D73EB0" w:rsidP="001B6F13">
            <w:pPr>
              <w:spacing w:line="360" w:lineRule="auto"/>
              <w:rPr>
                <w:rFonts w:ascii="宋体" w:hAnsi="宋体"/>
                <w:color w:val="000000"/>
                <w:szCs w:val="21"/>
              </w:rPr>
            </w:pPr>
            <w:r>
              <w:rPr>
                <w:rFonts w:ascii="宋体" w:hAnsi="宋体" w:hint="eastAsia"/>
                <w:color w:val="000000"/>
                <w:szCs w:val="21"/>
              </w:rPr>
              <w:t>技术方案</w:t>
            </w:r>
            <w:r>
              <w:rPr>
                <w:rFonts w:ascii="宋体" w:hAnsi="宋体"/>
                <w:color w:val="000000"/>
                <w:szCs w:val="21"/>
              </w:rPr>
              <w:t>8</w:t>
            </w:r>
            <w:r>
              <w:rPr>
                <w:rFonts w:ascii="宋体" w:hAnsi="宋体" w:hint="eastAsia"/>
                <w:color w:val="000000"/>
                <w:szCs w:val="21"/>
              </w:rPr>
              <w:t>%</w:t>
            </w:r>
          </w:p>
          <w:p w:rsidR="00D73EB0" w:rsidRDefault="00D73EB0" w:rsidP="001B6F13">
            <w:pPr>
              <w:spacing w:line="360" w:lineRule="auto"/>
              <w:rPr>
                <w:rFonts w:ascii="宋体" w:hAnsi="宋体"/>
                <w:color w:val="000000"/>
                <w:szCs w:val="21"/>
              </w:rPr>
            </w:pPr>
            <w:r>
              <w:rPr>
                <w:rFonts w:ascii="宋体" w:hAnsi="宋体" w:hint="eastAsia"/>
                <w:color w:val="000000"/>
                <w:szCs w:val="21"/>
              </w:rPr>
              <w:t>（技术类评分因素）</w:t>
            </w:r>
          </w:p>
        </w:tc>
        <w:tc>
          <w:tcPr>
            <w:tcW w:w="842" w:type="dxa"/>
            <w:vAlign w:val="center"/>
          </w:tcPr>
          <w:p w:rsidR="00D73EB0" w:rsidRDefault="00D73EB0" w:rsidP="001B6F13">
            <w:pPr>
              <w:spacing w:line="360" w:lineRule="auto"/>
              <w:rPr>
                <w:rFonts w:ascii="宋体" w:hAnsi="宋体"/>
                <w:color w:val="000000"/>
                <w:szCs w:val="21"/>
              </w:rPr>
            </w:pPr>
            <w:r>
              <w:rPr>
                <w:rFonts w:ascii="宋体" w:hAnsi="宋体"/>
                <w:color w:val="000000"/>
                <w:szCs w:val="21"/>
              </w:rPr>
              <w:t>8</w:t>
            </w:r>
            <w:r>
              <w:rPr>
                <w:rFonts w:ascii="宋体" w:hAnsi="宋体" w:hint="eastAsia"/>
                <w:color w:val="000000"/>
                <w:szCs w:val="21"/>
              </w:rPr>
              <w:t>分</w:t>
            </w:r>
          </w:p>
        </w:tc>
        <w:tc>
          <w:tcPr>
            <w:tcW w:w="3962" w:type="dxa"/>
            <w:vAlign w:val="center"/>
          </w:tcPr>
          <w:p w:rsidR="00D73EB0" w:rsidRDefault="00D73EB0" w:rsidP="00D73EB0">
            <w:pPr>
              <w:numPr>
                <w:ilvl w:val="0"/>
                <w:numId w:val="1"/>
              </w:numPr>
              <w:spacing w:line="360" w:lineRule="auto"/>
              <w:rPr>
                <w:rFonts w:ascii="宋体" w:hAnsi="宋体"/>
                <w:color w:val="000000"/>
                <w:szCs w:val="21"/>
              </w:rPr>
            </w:pPr>
            <w:r>
              <w:rPr>
                <w:rFonts w:ascii="宋体" w:hAnsi="宋体" w:hint="eastAsia"/>
                <w:color w:val="000000"/>
                <w:szCs w:val="21"/>
              </w:rPr>
              <w:t>投标人提供了针对本项目的技术方案的得4分（不提供不得分），技术方案清晰、合理的加4分，本项满分</w:t>
            </w:r>
            <w:r>
              <w:rPr>
                <w:rFonts w:ascii="宋体" w:hAnsi="宋体"/>
                <w:color w:val="000000"/>
                <w:szCs w:val="21"/>
              </w:rPr>
              <w:t>8</w:t>
            </w:r>
            <w:r>
              <w:rPr>
                <w:rFonts w:ascii="宋体" w:hAnsi="宋体" w:hint="eastAsia"/>
                <w:color w:val="000000"/>
                <w:szCs w:val="21"/>
              </w:rPr>
              <w:t>分。</w:t>
            </w:r>
          </w:p>
        </w:tc>
        <w:tc>
          <w:tcPr>
            <w:tcW w:w="1843" w:type="dxa"/>
            <w:vAlign w:val="center"/>
          </w:tcPr>
          <w:p w:rsidR="00D73EB0" w:rsidRDefault="00D73EB0" w:rsidP="001B6F13">
            <w:pPr>
              <w:spacing w:line="360" w:lineRule="auto"/>
              <w:rPr>
                <w:rFonts w:ascii="宋体" w:hAnsi="宋体"/>
                <w:color w:val="000000"/>
                <w:szCs w:val="21"/>
              </w:rPr>
            </w:pPr>
          </w:p>
        </w:tc>
      </w:tr>
      <w:tr w:rsidR="00D73EB0" w:rsidTr="001B6F13">
        <w:trPr>
          <w:trHeight w:val="1065"/>
          <w:jc w:val="center"/>
        </w:trPr>
        <w:tc>
          <w:tcPr>
            <w:tcW w:w="725" w:type="dxa"/>
            <w:vAlign w:val="center"/>
          </w:tcPr>
          <w:p w:rsidR="00D73EB0" w:rsidRDefault="00D73EB0" w:rsidP="001B6F13">
            <w:pPr>
              <w:spacing w:line="360" w:lineRule="auto"/>
              <w:rPr>
                <w:rFonts w:ascii="宋体" w:hAnsi="宋体"/>
                <w:color w:val="000000"/>
                <w:szCs w:val="21"/>
              </w:rPr>
            </w:pPr>
            <w:r>
              <w:rPr>
                <w:rFonts w:ascii="宋体" w:hAnsi="宋体" w:hint="eastAsia"/>
                <w:color w:val="000000"/>
                <w:szCs w:val="21"/>
              </w:rPr>
              <w:t>4</w:t>
            </w:r>
          </w:p>
        </w:tc>
        <w:tc>
          <w:tcPr>
            <w:tcW w:w="1979" w:type="dxa"/>
            <w:vAlign w:val="center"/>
          </w:tcPr>
          <w:p w:rsidR="00D73EB0" w:rsidRDefault="00D73EB0" w:rsidP="001B6F13">
            <w:pPr>
              <w:spacing w:line="360" w:lineRule="auto"/>
              <w:rPr>
                <w:rFonts w:ascii="宋体" w:hAnsi="宋体"/>
                <w:color w:val="000000"/>
                <w:szCs w:val="21"/>
              </w:rPr>
            </w:pPr>
            <w:r>
              <w:rPr>
                <w:rFonts w:ascii="宋体" w:hAnsi="宋体" w:hint="eastAsia"/>
                <w:color w:val="000000"/>
                <w:szCs w:val="21"/>
              </w:rPr>
              <w:t>履约能力</w:t>
            </w:r>
            <w:r>
              <w:rPr>
                <w:rFonts w:ascii="宋体" w:hAnsi="宋体"/>
                <w:color w:val="000000"/>
                <w:szCs w:val="21"/>
              </w:rPr>
              <w:t>20</w:t>
            </w:r>
            <w:r>
              <w:rPr>
                <w:rFonts w:ascii="宋体" w:hAnsi="宋体" w:hint="eastAsia"/>
                <w:color w:val="000000"/>
                <w:szCs w:val="21"/>
              </w:rPr>
              <w:t>%</w:t>
            </w:r>
          </w:p>
          <w:p w:rsidR="00D73EB0" w:rsidRDefault="00D73EB0" w:rsidP="001B6F13">
            <w:pPr>
              <w:spacing w:line="360" w:lineRule="auto"/>
              <w:rPr>
                <w:rFonts w:ascii="宋体" w:hAnsi="宋体"/>
                <w:color w:val="000000"/>
                <w:szCs w:val="21"/>
              </w:rPr>
            </w:pPr>
            <w:r>
              <w:rPr>
                <w:rFonts w:ascii="宋体" w:hAnsi="宋体" w:hint="eastAsia"/>
                <w:color w:val="000000"/>
                <w:szCs w:val="21"/>
              </w:rPr>
              <w:t>（共同评分因素）</w:t>
            </w:r>
          </w:p>
        </w:tc>
        <w:tc>
          <w:tcPr>
            <w:tcW w:w="842" w:type="dxa"/>
            <w:vAlign w:val="center"/>
          </w:tcPr>
          <w:p w:rsidR="00D73EB0" w:rsidRDefault="00D73EB0" w:rsidP="001B6F13">
            <w:pPr>
              <w:spacing w:line="360" w:lineRule="auto"/>
              <w:rPr>
                <w:rFonts w:ascii="宋体" w:hAnsi="宋体"/>
                <w:color w:val="000000"/>
                <w:szCs w:val="21"/>
              </w:rPr>
            </w:pPr>
            <w:r>
              <w:rPr>
                <w:rFonts w:ascii="宋体" w:hAnsi="宋体" w:hint="eastAsia"/>
                <w:color w:val="000000"/>
                <w:szCs w:val="21"/>
              </w:rPr>
              <w:t>20分</w:t>
            </w:r>
          </w:p>
        </w:tc>
        <w:tc>
          <w:tcPr>
            <w:tcW w:w="3962" w:type="dxa"/>
            <w:vAlign w:val="center"/>
          </w:tcPr>
          <w:p w:rsidR="00D73EB0" w:rsidRDefault="00D73EB0" w:rsidP="001B6F13">
            <w:pPr>
              <w:widowControl/>
              <w:rPr>
                <w:rFonts w:ascii="宋体" w:hAnsi="宋体" w:cs="Helvetica"/>
                <w:kern w:val="0"/>
                <w:szCs w:val="21"/>
              </w:rPr>
            </w:pPr>
            <w:r>
              <w:rPr>
                <w:rFonts w:ascii="宋体" w:hAnsi="宋体" w:hint="eastAsia"/>
                <w:color w:val="000000"/>
                <w:szCs w:val="21"/>
              </w:rPr>
              <w:t>1、要求安全托管服务产品厂商是微软安全响应中心发</w:t>
            </w:r>
            <w:r>
              <w:rPr>
                <w:rFonts w:ascii="宋体" w:hAnsi="宋体" w:hint="eastAsia"/>
                <w:szCs w:val="21"/>
              </w:rPr>
              <w:t>起的MAPP计划成员，可在微软发布每月安全公告之前获得微软产品的详细漏洞信息，提供更及时的安全防护。满足得</w:t>
            </w:r>
            <w:r>
              <w:rPr>
                <w:rFonts w:ascii="宋体" w:hAnsi="宋体"/>
                <w:szCs w:val="21"/>
              </w:rPr>
              <w:t>5</w:t>
            </w:r>
            <w:r>
              <w:rPr>
                <w:rFonts w:ascii="宋体" w:hAnsi="宋体" w:hint="eastAsia"/>
                <w:szCs w:val="21"/>
              </w:rPr>
              <w:t>分，其余不得分。（提供相应证书复印件并加盖厂商公章）</w:t>
            </w:r>
          </w:p>
          <w:p w:rsidR="00D73EB0" w:rsidRDefault="00D73EB0" w:rsidP="001B6F13">
            <w:pPr>
              <w:widowControl/>
              <w:jc w:val="left"/>
              <w:rPr>
                <w:rFonts w:ascii="宋体" w:hAnsi="宋体" w:cs="Helvetica"/>
                <w:kern w:val="0"/>
                <w:szCs w:val="21"/>
              </w:rPr>
            </w:pPr>
            <w:r>
              <w:rPr>
                <w:rFonts w:ascii="宋体" w:hAnsi="宋体" w:cs="Helvetica" w:hint="eastAsia"/>
                <w:kern w:val="0"/>
                <w:szCs w:val="21"/>
              </w:rPr>
              <w:t>2、</w:t>
            </w:r>
            <w:r>
              <w:rPr>
                <w:rFonts w:ascii="宋体" w:hAnsi="宋体" w:hint="eastAsia"/>
                <w:szCs w:val="21"/>
              </w:rPr>
              <w:t>为保证厂商具有突发安全事件的应急处置能力，</w:t>
            </w:r>
            <w:r>
              <w:rPr>
                <w:rFonts w:ascii="宋体" w:hAnsi="宋体" w:hint="eastAsia"/>
                <w:color w:val="000000"/>
                <w:szCs w:val="21"/>
              </w:rPr>
              <w:t>安全托管服务</w:t>
            </w:r>
            <w:r>
              <w:rPr>
                <w:rFonts w:ascii="宋体" w:hAnsi="宋体" w:hint="eastAsia"/>
                <w:szCs w:val="21"/>
              </w:rPr>
              <w:t>厂商为国家级网络安全应急服务支撑单位的得</w:t>
            </w:r>
            <w:r>
              <w:rPr>
                <w:rFonts w:ascii="宋体" w:hAnsi="宋体"/>
                <w:szCs w:val="21"/>
              </w:rPr>
              <w:t>5</w:t>
            </w:r>
            <w:r>
              <w:rPr>
                <w:rFonts w:ascii="宋体" w:hAnsi="宋体" w:hint="eastAsia"/>
                <w:szCs w:val="21"/>
              </w:rPr>
              <w:t>分，省级网络安全应急服务支撑单位的得</w:t>
            </w:r>
            <w:r>
              <w:rPr>
                <w:rFonts w:ascii="宋体" w:hAnsi="宋体"/>
                <w:szCs w:val="21"/>
              </w:rPr>
              <w:t>2</w:t>
            </w:r>
            <w:r>
              <w:rPr>
                <w:rFonts w:ascii="宋体" w:hAnsi="宋体" w:hint="eastAsia"/>
                <w:szCs w:val="21"/>
              </w:rPr>
              <w:t>分，其余不得分。（提供相应证书复印件并加盖厂商公章）</w:t>
            </w:r>
          </w:p>
          <w:p w:rsidR="00D73EB0" w:rsidRDefault="00D73EB0" w:rsidP="001B6F13">
            <w:pPr>
              <w:rPr>
                <w:rFonts w:ascii="宋体" w:hAnsi="宋体"/>
                <w:szCs w:val="21"/>
              </w:rPr>
            </w:pPr>
            <w:r>
              <w:rPr>
                <w:rFonts w:ascii="宋体" w:hAnsi="宋体" w:hint="eastAsia"/>
                <w:szCs w:val="21"/>
              </w:rPr>
              <w:t>3、本项目要求所投服务厂商具有国家信息安全测评中心颁发的《信息安全服务资质证书》安全工程类证书，满足得</w:t>
            </w:r>
            <w:r>
              <w:rPr>
                <w:rFonts w:ascii="宋体" w:hAnsi="宋体"/>
                <w:szCs w:val="21"/>
              </w:rPr>
              <w:t>5</w:t>
            </w:r>
            <w:r>
              <w:rPr>
                <w:rFonts w:ascii="宋体" w:hAnsi="宋体" w:hint="eastAsia"/>
                <w:szCs w:val="21"/>
              </w:rPr>
              <w:t>分，</w:t>
            </w:r>
            <w:r>
              <w:rPr>
                <w:rFonts w:ascii="宋体" w:hAnsi="宋体" w:hint="eastAsia"/>
                <w:szCs w:val="21"/>
              </w:rPr>
              <w:lastRenderedPageBreak/>
              <w:t>其余不得分。（提供相应证书复印件并加盖厂商公章）</w:t>
            </w:r>
          </w:p>
          <w:p w:rsidR="00D73EB0" w:rsidRDefault="00D73EB0" w:rsidP="001B6F13">
            <w:pPr>
              <w:rPr>
                <w:rFonts w:ascii="宋体" w:hAnsi="宋体"/>
                <w:szCs w:val="21"/>
              </w:rPr>
            </w:pPr>
            <w:r>
              <w:rPr>
                <w:rFonts w:ascii="宋体" w:hAnsi="宋体" w:hint="eastAsia"/>
                <w:szCs w:val="21"/>
              </w:rPr>
              <w:t>4、为确保云盾软件开发成熟度，要求所投云盾厂商具备CMMI证书，具备CMMI 5级资质，得</w:t>
            </w:r>
            <w:r>
              <w:rPr>
                <w:rFonts w:ascii="宋体" w:hAnsi="宋体"/>
                <w:szCs w:val="21"/>
              </w:rPr>
              <w:t>5</w:t>
            </w:r>
            <w:r>
              <w:rPr>
                <w:rFonts w:ascii="宋体" w:hAnsi="宋体" w:hint="eastAsia"/>
                <w:szCs w:val="21"/>
              </w:rPr>
              <w:t>分，具备CMMI 4级资质，得</w:t>
            </w:r>
            <w:r>
              <w:rPr>
                <w:rFonts w:ascii="宋体" w:hAnsi="宋体"/>
                <w:szCs w:val="21"/>
              </w:rPr>
              <w:t>2</w:t>
            </w:r>
            <w:r>
              <w:rPr>
                <w:rFonts w:ascii="宋体" w:hAnsi="宋体" w:hint="eastAsia"/>
                <w:szCs w:val="21"/>
              </w:rPr>
              <w:t>分，其余不得分（提供相应证书复印件并加盖厂商公章）</w:t>
            </w:r>
          </w:p>
        </w:tc>
        <w:tc>
          <w:tcPr>
            <w:tcW w:w="1843" w:type="dxa"/>
            <w:vAlign w:val="center"/>
          </w:tcPr>
          <w:p w:rsidR="00D73EB0" w:rsidRDefault="00D73EB0" w:rsidP="001B6F13">
            <w:pPr>
              <w:spacing w:line="360" w:lineRule="auto"/>
              <w:rPr>
                <w:rFonts w:ascii="宋体" w:hAnsi="宋体"/>
                <w:color w:val="000000"/>
                <w:szCs w:val="21"/>
              </w:rPr>
            </w:pPr>
          </w:p>
        </w:tc>
      </w:tr>
      <w:tr w:rsidR="00D73EB0" w:rsidTr="001B6F13">
        <w:trPr>
          <w:trHeight w:val="557"/>
          <w:jc w:val="center"/>
        </w:trPr>
        <w:tc>
          <w:tcPr>
            <w:tcW w:w="725" w:type="dxa"/>
            <w:tcBorders>
              <w:top w:val="single" w:sz="4" w:space="0" w:color="auto"/>
              <w:left w:val="single" w:sz="4" w:space="0" w:color="auto"/>
              <w:bottom w:val="single" w:sz="4" w:space="0" w:color="auto"/>
              <w:right w:val="single" w:sz="4" w:space="0" w:color="auto"/>
            </w:tcBorders>
            <w:vAlign w:val="center"/>
          </w:tcPr>
          <w:p w:rsidR="00D73EB0" w:rsidRDefault="00D73EB0" w:rsidP="001B6F13">
            <w:pPr>
              <w:spacing w:line="360" w:lineRule="auto"/>
              <w:rPr>
                <w:rFonts w:ascii="宋体" w:hAnsi="宋体"/>
                <w:color w:val="000000"/>
                <w:szCs w:val="21"/>
              </w:rPr>
            </w:pPr>
            <w:r>
              <w:rPr>
                <w:rFonts w:ascii="宋体" w:hAnsi="宋体" w:hint="eastAsia"/>
                <w:color w:val="000000"/>
                <w:szCs w:val="21"/>
              </w:rPr>
              <w:lastRenderedPageBreak/>
              <w:t>5</w:t>
            </w:r>
          </w:p>
        </w:tc>
        <w:tc>
          <w:tcPr>
            <w:tcW w:w="1979" w:type="dxa"/>
            <w:tcBorders>
              <w:top w:val="single" w:sz="4" w:space="0" w:color="auto"/>
              <w:left w:val="single" w:sz="4" w:space="0" w:color="auto"/>
              <w:bottom w:val="single" w:sz="4" w:space="0" w:color="auto"/>
              <w:right w:val="single" w:sz="4" w:space="0" w:color="auto"/>
            </w:tcBorders>
            <w:vAlign w:val="center"/>
          </w:tcPr>
          <w:p w:rsidR="00D73EB0" w:rsidRDefault="00D73EB0" w:rsidP="001B6F13">
            <w:pPr>
              <w:spacing w:line="360" w:lineRule="auto"/>
              <w:rPr>
                <w:rFonts w:ascii="宋体" w:hAnsi="宋体"/>
                <w:color w:val="000000"/>
                <w:szCs w:val="21"/>
              </w:rPr>
            </w:pPr>
            <w:r>
              <w:rPr>
                <w:rFonts w:ascii="宋体" w:hAnsi="宋体" w:hint="eastAsia"/>
                <w:color w:val="000000"/>
                <w:szCs w:val="21"/>
              </w:rPr>
              <w:t>节能、环境</w:t>
            </w:r>
          </w:p>
          <w:p w:rsidR="00D73EB0" w:rsidRDefault="00D73EB0" w:rsidP="001B6F13">
            <w:pPr>
              <w:spacing w:line="360" w:lineRule="auto"/>
              <w:rPr>
                <w:rFonts w:ascii="宋体" w:hAnsi="宋体"/>
                <w:color w:val="000000"/>
                <w:szCs w:val="21"/>
              </w:rPr>
            </w:pPr>
            <w:r>
              <w:rPr>
                <w:rFonts w:ascii="宋体" w:hAnsi="宋体" w:hint="eastAsia"/>
                <w:color w:val="000000"/>
                <w:szCs w:val="21"/>
              </w:rPr>
              <w:t>标志、无线局域网产品</w:t>
            </w:r>
            <w:r>
              <w:rPr>
                <w:rFonts w:ascii="宋体" w:hAnsi="宋体"/>
                <w:color w:val="000000"/>
                <w:szCs w:val="21"/>
              </w:rPr>
              <w:t>2</w:t>
            </w:r>
            <w:r>
              <w:rPr>
                <w:rFonts w:ascii="宋体" w:hAnsi="宋体" w:hint="eastAsia"/>
                <w:color w:val="000000"/>
                <w:szCs w:val="21"/>
              </w:rPr>
              <w:t>%（共同评分因素）</w:t>
            </w:r>
          </w:p>
        </w:tc>
        <w:tc>
          <w:tcPr>
            <w:tcW w:w="842" w:type="dxa"/>
            <w:tcBorders>
              <w:top w:val="single" w:sz="4" w:space="0" w:color="auto"/>
              <w:left w:val="single" w:sz="4" w:space="0" w:color="auto"/>
              <w:bottom w:val="single" w:sz="4" w:space="0" w:color="auto"/>
              <w:right w:val="single" w:sz="4" w:space="0" w:color="auto"/>
            </w:tcBorders>
            <w:vAlign w:val="center"/>
          </w:tcPr>
          <w:p w:rsidR="00D73EB0" w:rsidRDefault="00D73EB0" w:rsidP="001B6F13">
            <w:pPr>
              <w:spacing w:line="360" w:lineRule="auto"/>
              <w:rPr>
                <w:rFonts w:ascii="宋体" w:hAnsi="宋体"/>
                <w:color w:val="000000"/>
                <w:szCs w:val="21"/>
              </w:rPr>
            </w:pPr>
            <w:r>
              <w:rPr>
                <w:rFonts w:ascii="宋体" w:hAnsi="宋体"/>
                <w:color w:val="000000"/>
                <w:szCs w:val="21"/>
              </w:rPr>
              <w:t>2</w:t>
            </w:r>
            <w:r>
              <w:rPr>
                <w:rFonts w:ascii="宋体" w:hAnsi="宋体" w:hint="eastAsia"/>
                <w:color w:val="000000"/>
                <w:szCs w:val="21"/>
              </w:rPr>
              <w:t>分</w:t>
            </w:r>
          </w:p>
        </w:tc>
        <w:tc>
          <w:tcPr>
            <w:tcW w:w="3962" w:type="dxa"/>
            <w:tcBorders>
              <w:top w:val="single" w:sz="4" w:space="0" w:color="auto"/>
              <w:left w:val="single" w:sz="4" w:space="0" w:color="auto"/>
              <w:bottom w:val="single" w:sz="4" w:space="0" w:color="auto"/>
              <w:right w:val="single" w:sz="4" w:space="0" w:color="auto"/>
            </w:tcBorders>
            <w:vAlign w:val="center"/>
          </w:tcPr>
          <w:p w:rsidR="00D73EB0" w:rsidRDefault="00D73EB0" w:rsidP="001B6F13">
            <w:pPr>
              <w:spacing w:line="360" w:lineRule="auto"/>
              <w:rPr>
                <w:rFonts w:ascii="宋体" w:hAnsi="宋体"/>
                <w:color w:val="000000"/>
                <w:szCs w:val="21"/>
              </w:rPr>
            </w:pPr>
            <w:r>
              <w:rPr>
                <w:rFonts w:ascii="宋体" w:hAnsi="宋体" w:hint="eastAsia"/>
                <w:color w:val="000000"/>
                <w:szCs w:val="21"/>
              </w:rPr>
              <w:t>投标产品中属于政府采购优先采购范围的，每有一项为节能产品或者环境标志产品或者无线局域网产品的得</w:t>
            </w:r>
            <w:r>
              <w:rPr>
                <w:rFonts w:ascii="宋体" w:hAnsi="宋体"/>
                <w:color w:val="000000"/>
                <w:szCs w:val="21"/>
              </w:rPr>
              <w:t>2分，非节能、环境标志产品的、无线局域网产品的不得分。本项最多得2分。</w:t>
            </w:r>
          </w:p>
          <w:p w:rsidR="00D73EB0" w:rsidRDefault="00D73EB0" w:rsidP="001B6F13">
            <w:pPr>
              <w:spacing w:line="360" w:lineRule="auto"/>
              <w:rPr>
                <w:rFonts w:ascii="宋体" w:hAnsi="宋体"/>
                <w:color w:val="000000"/>
                <w:szCs w:val="21"/>
              </w:rPr>
            </w:pPr>
            <w:r>
              <w:rPr>
                <w:rFonts w:ascii="宋体" w:hAnsi="宋体" w:hint="eastAsia"/>
                <w:color w:val="000000"/>
                <w:szCs w:val="21"/>
              </w:rPr>
              <w:t>注：</w:t>
            </w:r>
            <w:r>
              <w:rPr>
                <w:rFonts w:ascii="宋体" w:hAnsi="宋体"/>
                <w:color w:val="000000"/>
                <w:szCs w:val="21"/>
              </w:rPr>
              <w:t>1、节能产品、环境标志产品优先采购范围以相应的政府采购品目清单为准。（财政部、发展改革委、生态环境部等部门根据产品节能环保性能、技术水平和市场成熟程度等因素，确定实施政府优先采购和强制采购的产品类别及所依据的相关标准规范，以品目清单的形式发布并适时调整。）</w:t>
            </w:r>
          </w:p>
          <w:p w:rsidR="00D73EB0" w:rsidRDefault="00D73EB0" w:rsidP="001B6F13">
            <w:pPr>
              <w:spacing w:line="360" w:lineRule="auto"/>
              <w:rPr>
                <w:rFonts w:ascii="宋体" w:hAnsi="宋体"/>
                <w:color w:val="000000"/>
                <w:szCs w:val="21"/>
              </w:rPr>
            </w:pPr>
            <w:r>
              <w:rPr>
                <w:rFonts w:ascii="宋体" w:hAnsi="宋体"/>
                <w:color w:val="000000"/>
                <w:szCs w:val="21"/>
              </w:rPr>
              <w:t>2、无线局域网产品优先采购范围以中国政府采购网公布的《无线局域网认证产品政府采购清单》为准。</w:t>
            </w:r>
          </w:p>
        </w:tc>
        <w:tc>
          <w:tcPr>
            <w:tcW w:w="1843" w:type="dxa"/>
            <w:tcBorders>
              <w:top w:val="single" w:sz="4" w:space="0" w:color="auto"/>
              <w:left w:val="single" w:sz="4" w:space="0" w:color="auto"/>
              <w:bottom w:val="single" w:sz="4" w:space="0" w:color="auto"/>
              <w:right w:val="single" w:sz="4" w:space="0" w:color="auto"/>
            </w:tcBorders>
            <w:vAlign w:val="center"/>
          </w:tcPr>
          <w:p w:rsidR="00D73EB0" w:rsidRDefault="00D73EB0" w:rsidP="001B6F13">
            <w:pPr>
              <w:spacing w:line="360" w:lineRule="auto"/>
              <w:ind w:left="-38"/>
              <w:rPr>
                <w:rFonts w:ascii="宋体" w:hAnsi="宋体"/>
                <w:color w:val="000000"/>
                <w:szCs w:val="21"/>
              </w:rPr>
            </w:pPr>
          </w:p>
        </w:tc>
      </w:tr>
      <w:tr w:rsidR="00D73EB0" w:rsidTr="001B6F13">
        <w:trPr>
          <w:trHeight w:val="1907"/>
          <w:jc w:val="center"/>
        </w:trPr>
        <w:tc>
          <w:tcPr>
            <w:tcW w:w="725" w:type="dxa"/>
            <w:tcBorders>
              <w:top w:val="single" w:sz="4" w:space="0" w:color="auto"/>
              <w:left w:val="single" w:sz="4" w:space="0" w:color="auto"/>
              <w:bottom w:val="single" w:sz="4" w:space="0" w:color="auto"/>
              <w:right w:val="single" w:sz="4" w:space="0" w:color="auto"/>
            </w:tcBorders>
            <w:vAlign w:val="center"/>
          </w:tcPr>
          <w:p w:rsidR="00D73EB0" w:rsidRDefault="00D73EB0" w:rsidP="001B6F13">
            <w:pPr>
              <w:spacing w:line="360" w:lineRule="auto"/>
              <w:rPr>
                <w:rFonts w:ascii="宋体" w:hAnsi="宋体"/>
                <w:color w:val="000000"/>
                <w:szCs w:val="21"/>
              </w:rPr>
            </w:pPr>
            <w:r>
              <w:rPr>
                <w:rFonts w:ascii="宋体" w:hAnsi="宋体" w:hint="eastAsia"/>
                <w:color w:val="000000"/>
                <w:szCs w:val="21"/>
              </w:rPr>
              <w:t>6</w:t>
            </w:r>
          </w:p>
        </w:tc>
        <w:tc>
          <w:tcPr>
            <w:tcW w:w="1979" w:type="dxa"/>
            <w:tcBorders>
              <w:top w:val="single" w:sz="4" w:space="0" w:color="auto"/>
              <w:left w:val="single" w:sz="4" w:space="0" w:color="auto"/>
              <w:bottom w:val="single" w:sz="4" w:space="0" w:color="auto"/>
              <w:right w:val="single" w:sz="4" w:space="0" w:color="auto"/>
            </w:tcBorders>
            <w:vAlign w:val="center"/>
          </w:tcPr>
          <w:p w:rsidR="00D73EB0" w:rsidRDefault="00D73EB0" w:rsidP="001B6F13">
            <w:pPr>
              <w:spacing w:line="360" w:lineRule="auto"/>
              <w:rPr>
                <w:rFonts w:ascii="宋体" w:hAnsi="宋体"/>
                <w:color w:val="000000"/>
                <w:szCs w:val="21"/>
              </w:rPr>
            </w:pPr>
            <w:r>
              <w:rPr>
                <w:rFonts w:ascii="宋体" w:hAnsi="宋体" w:hint="eastAsia"/>
                <w:color w:val="000000"/>
                <w:szCs w:val="21"/>
              </w:rPr>
              <w:t>投标文件的</w:t>
            </w:r>
          </w:p>
          <w:p w:rsidR="00D73EB0" w:rsidRDefault="00D73EB0" w:rsidP="001B6F13">
            <w:pPr>
              <w:spacing w:line="360" w:lineRule="auto"/>
              <w:rPr>
                <w:rFonts w:ascii="宋体" w:hAnsi="宋体"/>
                <w:color w:val="000000"/>
                <w:szCs w:val="21"/>
              </w:rPr>
            </w:pPr>
            <w:r>
              <w:rPr>
                <w:rFonts w:ascii="宋体" w:hAnsi="宋体" w:hint="eastAsia"/>
                <w:color w:val="000000"/>
                <w:szCs w:val="21"/>
              </w:rPr>
              <w:t>规范性</w:t>
            </w:r>
            <w:r>
              <w:rPr>
                <w:rFonts w:ascii="宋体" w:hAnsi="宋体"/>
                <w:color w:val="000000"/>
                <w:szCs w:val="21"/>
              </w:rPr>
              <w:t>2</w:t>
            </w:r>
            <w:r>
              <w:rPr>
                <w:rFonts w:ascii="宋体" w:hAnsi="宋体" w:hint="eastAsia"/>
                <w:color w:val="000000"/>
                <w:szCs w:val="21"/>
              </w:rPr>
              <w:t>%（共同评分因素）</w:t>
            </w:r>
          </w:p>
        </w:tc>
        <w:tc>
          <w:tcPr>
            <w:tcW w:w="842" w:type="dxa"/>
            <w:tcBorders>
              <w:top w:val="single" w:sz="4" w:space="0" w:color="auto"/>
              <w:left w:val="single" w:sz="4" w:space="0" w:color="auto"/>
              <w:bottom w:val="single" w:sz="4" w:space="0" w:color="auto"/>
              <w:right w:val="single" w:sz="4" w:space="0" w:color="auto"/>
            </w:tcBorders>
            <w:vAlign w:val="center"/>
          </w:tcPr>
          <w:p w:rsidR="00D73EB0" w:rsidRDefault="00D73EB0" w:rsidP="001B6F13">
            <w:pPr>
              <w:spacing w:line="360" w:lineRule="auto"/>
              <w:rPr>
                <w:rFonts w:ascii="宋体" w:hAnsi="宋体"/>
                <w:color w:val="000000"/>
                <w:szCs w:val="21"/>
              </w:rPr>
            </w:pPr>
            <w:r>
              <w:rPr>
                <w:rFonts w:ascii="宋体" w:hAnsi="宋体"/>
                <w:color w:val="000000"/>
                <w:szCs w:val="21"/>
              </w:rPr>
              <w:t>2</w:t>
            </w:r>
            <w:r>
              <w:rPr>
                <w:rFonts w:ascii="宋体" w:hAnsi="宋体" w:hint="eastAsia"/>
                <w:color w:val="000000"/>
                <w:szCs w:val="21"/>
              </w:rPr>
              <w:t>分</w:t>
            </w:r>
          </w:p>
        </w:tc>
        <w:tc>
          <w:tcPr>
            <w:tcW w:w="3962" w:type="dxa"/>
            <w:tcBorders>
              <w:top w:val="single" w:sz="4" w:space="0" w:color="auto"/>
              <w:left w:val="single" w:sz="4" w:space="0" w:color="auto"/>
              <w:bottom w:val="single" w:sz="4" w:space="0" w:color="auto"/>
              <w:right w:val="single" w:sz="4" w:space="0" w:color="auto"/>
            </w:tcBorders>
            <w:vAlign w:val="center"/>
          </w:tcPr>
          <w:p w:rsidR="00D73EB0" w:rsidRDefault="00D73EB0" w:rsidP="001B6F13">
            <w:pPr>
              <w:spacing w:line="360" w:lineRule="auto"/>
              <w:rPr>
                <w:rFonts w:ascii="宋体" w:hAnsi="宋体"/>
                <w:color w:val="000000"/>
                <w:szCs w:val="21"/>
              </w:rPr>
            </w:pPr>
            <w:r>
              <w:rPr>
                <w:rFonts w:ascii="宋体" w:hAnsi="宋体" w:hint="eastAsia"/>
                <w:color w:val="000000"/>
                <w:szCs w:val="21"/>
              </w:rPr>
              <w:t>投标文件制作规范，没有细微偏差情形的得</w:t>
            </w:r>
            <w:r>
              <w:rPr>
                <w:rFonts w:ascii="宋体" w:hAnsi="宋体"/>
                <w:color w:val="000000"/>
                <w:szCs w:val="21"/>
              </w:rPr>
              <w:t>2</w:t>
            </w:r>
            <w:r>
              <w:rPr>
                <w:rFonts w:ascii="宋体" w:hAnsi="宋体" w:hint="eastAsia"/>
                <w:color w:val="000000"/>
                <w:szCs w:val="21"/>
              </w:rPr>
              <w:t>分，有一项细微偏差扣0.5分，直至该项分值扣完为止。</w:t>
            </w:r>
          </w:p>
        </w:tc>
        <w:tc>
          <w:tcPr>
            <w:tcW w:w="1843" w:type="dxa"/>
            <w:tcBorders>
              <w:top w:val="single" w:sz="4" w:space="0" w:color="auto"/>
              <w:left w:val="single" w:sz="4" w:space="0" w:color="auto"/>
              <w:bottom w:val="single" w:sz="4" w:space="0" w:color="auto"/>
              <w:right w:val="single" w:sz="4" w:space="0" w:color="auto"/>
            </w:tcBorders>
            <w:vAlign w:val="center"/>
          </w:tcPr>
          <w:p w:rsidR="00D73EB0" w:rsidRDefault="00D73EB0" w:rsidP="001B6F13">
            <w:pPr>
              <w:spacing w:line="360" w:lineRule="auto"/>
              <w:rPr>
                <w:rFonts w:ascii="宋体" w:hAnsi="宋体"/>
                <w:color w:val="000000"/>
                <w:szCs w:val="21"/>
              </w:rPr>
            </w:pPr>
          </w:p>
        </w:tc>
      </w:tr>
    </w:tbl>
    <w:p w:rsidR="007B7AE3" w:rsidRPr="00D73EB0" w:rsidRDefault="007B7AE3"/>
    <w:sectPr w:rsidR="007B7AE3" w:rsidRPr="00D73EB0" w:rsidSect="007B7A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32A" w:rsidRDefault="00BF432A" w:rsidP="00D73EB0">
      <w:r>
        <w:separator/>
      </w:r>
    </w:p>
  </w:endnote>
  <w:endnote w:type="continuationSeparator" w:id="0">
    <w:p w:rsidR="00BF432A" w:rsidRDefault="00BF432A" w:rsidP="00D73E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32A" w:rsidRDefault="00BF432A" w:rsidP="00D73EB0">
      <w:r>
        <w:separator/>
      </w:r>
    </w:p>
  </w:footnote>
  <w:footnote w:type="continuationSeparator" w:id="0">
    <w:p w:rsidR="00BF432A" w:rsidRDefault="00BF432A" w:rsidP="00D73E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7ACCE0"/>
    <w:multiLevelType w:val="singleLevel"/>
    <w:tmpl w:val="E07ACCE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3EB0"/>
    <w:rsid w:val="002F2600"/>
    <w:rsid w:val="006C56D1"/>
    <w:rsid w:val="007B7AE3"/>
    <w:rsid w:val="007F2917"/>
    <w:rsid w:val="008A1BBA"/>
    <w:rsid w:val="009D7502"/>
    <w:rsid w:val="00BF432A"/>
    <w:rsid w:val="00D73E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EB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3E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73EB0"/>
    <w:rPr>
      <w:sz w:val="18"/>
      <w:szCs w:val="18"/>
    </w:rPr>
  </w:style>
  <w:style w:type="paragraph" w:styleId="a4">
    <w:name w:val="footer"/>
    <w:basedOn w:val="a"/>
    <w:link w:val="Char0"/>
    <w:uiPriority w:val="99"/>
    <w:semiHidden/>
    <w:unhideWhenUsed/>
    <w:rsid w:val="00D73EB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73EB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962</Characters>
  <Application>Microsoft Office Word</Application>
  <DocSecurity>0</DocSecurity>
  <Lines>8</Lines>
  <Paragraphs>2</Paragraphs>
  <ScaleCrop>false</ScaleCrop>
  <Company>四川财经职业学院</Company>
  <LinksUpToDate>false</LinksUpToDate>
  <CharactersWithSpaces>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焦学磊</dc:creator>
  <cp:keywords/>
  <dc:description/>
  <cp:lastModifiedBy>焦学磊</cp:lastModifiedBy>
  <cp:revision>4</cp:revision>
  <dcterms:created xsi:type="dcterms:W3CDTF">2019-11-22T03:19:00Z</dcterms:created>
  <dcterms:modified xsi:type="dcterms:W3CDTF">2019-11-22T03:34:00Z</dcterms:modified>
</cp:coreProperties>
</file>